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napToGrid w:val="0"/>
        <w:spacing w:beforeLines="0" w:afterLines="0" w:line="579" w:lineRule="exact"/>
        <w:rPr>
          <w:rFonts w:hint="default" w:ascii="黑体" w:hAnsi="黑体" w:eastAsia="黑体"/>
          <w:bCs/>
          <w:kern w:val="0"/>
          <w:sz w:val="32"/>
          <w:szCs w:val="32"/>
          <w:lang w:val="en-US" w:eastAsia="zh-CN"/>
        </w:rPr>
      </w:pPr>
      <w:r>
        <w:rPr>
          <w:rFonts w:hint="eastAsia" w:ascii="黑体" w:hAnsi="黑体" w:eastAsia="黑体"/>
          <w:bCs/>
          <w:kern w:val="0"/>
          <w:sz w:val="32"/>
          <w:szCs w:val="32"/>
        </w:rPr>
        <w:t>附件1</w:t>
      </w:r>
      <w:r>
        <w:rPr>
          <w:rFonts w:hint="eastAsia" w:ascii="黑体" w:hAnsi="黑体" w:eastAsia="黑体"/>
          <w:bCs/>
          <w:kern w:val="0"/>
          <w:sz w:val="32"/>
          <w:szCs w:val="32"/>
          <w:lang w:val="en-US" w:eastAsia="zh-CN"/>
        </w:rPr>
        <w:t>-1</w:t>
      </w:r>
    </w:p>
    <w:p>
      <w:pPr>
        <w:autoSpaceDE w:val="0"/>
        <w:autoSpaceDN w:val="0"/>
        <w:adjustRightInd w:val="0"/>
        <w:snapToGrid w:val="0"/>
        <w:spacing w:beforeLines="0" w:afterLines="0" w:line="579" w:lineRule="exact"/>
        <w:rPr>
          <w:rFonts w:ascii="黑体" w:hAnsi="黑体" w:eastAsia="黑体"/>
          <w:bCs/>
          <w:kern w:val="0"/>
          <w:sz w:val="32"/>
          <w:szCs w:val="32"/>
        </w:rPr>
      </w:pPr>
    </w:p>
    <w:p>
      <w:pPr>
        <w:autoSpaceDE w:val="0"/>
        <w:autoSpaceDN w:val="0"/>
        <w:adjustRightInd w:val="0"/>
        <w:snapToGrid w:val="0"/>
        <w:spacing w:beforeLines="0" w:afterLines="0" w:line="579" w:lineRule="exact"/>
        <w:jc w:val="center"/>
        <w:rPr>
          <w:rFonts w:eastAsia="方正小标宋简体"/>
          <w:bCs/>
          <w:kern w:val="0"/>
          <w:sz w:val="36"/>
          <w:szCs w:val="36"/>
        </w:rPr>
      </w:pPr>
      <w:r>
        <w:rPr>
          <w:rFonts w:hint="eastAsia" w:eastAsia="方正小标宋简体"/>
          <w:bCs/>
          <w:kern w:val="0"/>
          <w:sz w:val="36"/>
          <w:szCs w:val="36"/>
          <w:lang w:eastAsia="zh-CN"/>
        </w:rPr>
        <w:t>珠海</w:t>
      </w:r>
      <w:r>
        <w:rPr>
          <w:rFonts w:eastAsia="方正小标宋简体"/>
          <w:bCs/>
          <w:kern w:val="0"/>
          <w:sz w:val="36"/>
          <w:szCs w:val="36"/>
        </w:rPr>
        <w:t>市工业旅游示范点（区）评选标准及评分规则</w:t>
      </w:r>
    </w:p>
    <w:p>
      <w:pPr>
        <w:autoSpaceDE w:val="0"/>
        <w:autoSpaceDN w:val="0"/>
        <w:adjustRightInd w:val="0"/>
        <w:snapToGrid w:val="0"/>
        <w:spacing w:beforeLines="0" w:afterLines="0" w:line="579" w:lineRule="exact"/>
        <w:rPr>
          <w:rFonts w:eastAsia="仿宋_GB2312"/>
          <w:kern w:val="0"/>
          <w:sz w:val="28"/>
          <w:szCs w:val="28"/>
        </w:rPr>
      </w:pPr>
    </w:p>
    <w:p>
      <w:pPr>
        <w:autoSpaceDE w:val="0"/>
        <w:autoSpaceDN w:val="0"/>
        <w:adjustRightInd w:val="0"/>
        <w:snapToGrid w:val="0"/>
        <w:spacing w:beforeLines="0" w:afterLines="0" w:line="579" w:lineRule="exact"/>
        <w:rPr>
          <w:rFonts w:eastAsia="黑体"/>
          <w:bCs/>
          <w:kern w:val="0"/>
          <w:sz w:val="30"/>
          <w:szCs w:val="30"/>
        </w:rPr>
      </w:pPr>
      <w:r>
        <w:rPr>
          <w:rFonts w:eastAsia="黑体"/>
          <w:bCs/>
          <w:kern w:val="0"/>
          <w:sz w:val="30"/>
          <w:szCs w:val="30"/>
        </w:rPr>
        <w:t xml:space="preserve">1 </w:t>
      </w:r>
      <w:r>
        <w:rPr>
          <w:rFonts w:hAnsi="黑体" w:eastAsia="黑体"/>
          <w:bCs/>
          <w:kern w:val="0"/>
          <w:sz w:val="30"/>
          <w:szCs w:val="30"/>
        </w:rPr>
        <w:t>范围</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本标准规定了</w:t>
      </w:r>
      <w:r>
        <w:rPr>
          <w:rFonts w:hint="eastAsia" w:eastAsia="仿宋_GB2312"/>
          <w:kern w:val="0"/>
          <w:sz w:val="28"/>
          <w:szCs w:val="28"/>
          <w:lang w:eastAsia="zh-CN"/>
        </w:rPr>
        <w:t>珠海</w:t>
      </w:r>
      <w:r>
        <w:rPr>
          <w:rFonts w:eastAsia="仿宋_GB2312"/>
          <w:kern w:val="0"/>
          <w:sz w:val="28"/>
          <w:szCs w:val="28"/>
        </w:rPr>
        <w:t>市工业旅游示范点（区）的术语和定义、必备条件、基本条件（包括资源价值、环境条件、旅游交通、游览设施、卫生设施及环境质量、游览服务、旅游安全、旅游智慧化、文化特色、综合管理）和评分规则等内容，适用于</w:t>
      </w:r>
      <w:r>
        <w:rPr>
          <w:rFonts w:hint="eastAsia" w:eastAsia="仿宋_GB2312"/>
          <w:kern w:val="0"/>
          <w:sz w:val="28"/>
          <w:szCs w:val="28"/>
          <w:lang w:eastAsia="zh-CN"/>
        </w:rPr>
        <w:t>珠海</w:t>
      </w:r>
      <w:r>
        <w:rPr>
          <w:rFonts w:eastAsia="仿宋_GB2312"/>
          <w:kern w:val="0"/>
          <w:sz w:val="28"/>
          <w:szCs w:val="28"/>
        </w:rPr>
        <w:t>市范围内接待旅游者的各种类型工业旅游资源实体的建设和评选工作。</w:t>
      </w:r>
    </w:p>
    <w:p>
      <w:pPr>
        <w:autoSpaceDE w:val="0"/>
        <w:autoSpaceDN w:val="0"/>
        <w:adjustRightInd w:val="0"/>
        <w:snapToGrid w:val="0"/>
        <w:spacing w:beforeLines="0" w:afterLines="0" w:line="579" w:lineRule="exact"/>
        <w:jc w:val="left"/>
        <w:rPr>
          <w:rFonts w:eastAsia="黑体"/>
          <w:bCs/>
          <w:kern w:val="0"/>
          <w:sz w:val="30"/>
          <w:szCs w:val="30"/>
        </w:rPr>
      </w:pPr>
      <w:r>
        <w:rPr>
          <w:rFonts w:eastAsia="黑体"/>
          <w:bCs/>
          <w:kern w:val="0"/>
          <w:sz w:val="30"/>
          <w:szCs w:val="30"/>
        </w:rPr>
        <w:t>2 规范性引用文件</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下列文件中的内容通过文中的规范性引用而构成本文件必不可少的条款。其中，注日期的引用文件，仅该日期对应的版本适用于本文件；不注日期的引用文件，其最新版本（包括所有修改单）适用于本文件。</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3095-2012  环境空气质量标准</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 xml:space="preserve">GB 3096-2008  </w:t>
      </w:r>
      <w:r>
        <w:rPr>
          <w:rFonts w:hint="eastAsia" w:eastAsia="仿宋_GB2312"/>
          <w:kern w:val="0"/>
          <w:sz w:val="28"/>
          <w:szCs w:val="28"/>
          <w:lang w:val="en-US" w:eastAsia="zh-CN"/>
        </w:rPr>
        <w:t>声</w:t>
      </w:r>
      <w:r>
        <w:rPr>
          <w:rFonts w:eastAsia="仿宋_GB2312"/>
          <w:kern w:val="0"/>
          <w:sz w:val="28"/>
          <w:szCs w:val="28"/>
        </w:rPr>
        <w:t>环境</w:t>
      </w:r>
      <w:r>
        <w:rPr>
          <w:rFonts w:hint="eastAsia" w:eastAsia="仿宋_GB2312"/>
          <w:kern w:val="0"/>
          <w:sz w:val="28"/>
          <w:szCs w:val="28"/>
          <w:lang w:val="en-US" w:eastAsia="zh-CN"/>
        </w:rPr>
        <w:t>质量</w:t>
      </w:r>
      <w:r>
        <w:rPr>
          <w:rFonts w:eastAsia="仿宋_GB2312"/>
          <w:kern w:val="0"/>
          <w:sz w:val="28"/>
          <w:szCs w:val="28"/>
        </w:rPr>
        <w:t>标准</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5768.2  道路交通标志和标线</w:t>
      </w:r>
      <w:r>
        <w:rPr>
          <w:rFonts w:hint="eastAsia" w:eastAsia="仿宋_GB2312"/>
          <w:kern w:val="0"/>
          <w:sz w:val="28"/>
          <w:szCs w:val="28"/>
        </w:rPr>
        <w:t xml:space="preserve"> </w:t>
      </w:r>
      <w:r>
        <w:rPr>
          <w:rFonts w:eastAsia="仿宋_GB2312"/>
          <w:kern w:val="0"/>
          <w:sz w:val="28"/>
          <w:szCs w:val="28"/>
        </w:rPr>
        <w:t>第2部分：道路交通标志</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8978  污水综合排放标准</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 xml:space="preserve">GB 12348-2008 工业企业厂界环境噪声排放标准 </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10001.1  标志用公共信息图形符号 第1部分：通用符号</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10001.2  标志用公共信息图形符号 第2部分：旅游休闲符号</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10001.9  标志用公共信息图形符号 第9部分：无障碍设施符号</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15971-20</w:t>
      </w:r>
      <w:r>
        <w:rPr>
          <w:rFonts w:hint="eastAsia" w:eastAsia="仿宋_GB2312"/>
          <w:kern w:val="0"/>
          <w:sz w:val="28"/>
          <w:szCs w:val="28"/>
          <w:lang w:val="en-US" w:eastAsia="zh-CN"/>
        </w:rPr>
        <w:t>23</w:t>
      </w:r>
      <w:r>
        <w:rPr>
          <w:rFonts w:eastAsia="仿宋_GB2312"/>
          <w:kern w:val="0"/>
          <w:sz w:val="28"/>
          <w:szCs w:val="28"/>
        </w:rPr>
        <w:t xml:space="preserve">  导游服务规范</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18973-20</w:t>
      </w:r>
      <w:r>
        <w:rPr>
          <w:rFonts w:hint="eastAsia" w:eastAsia="仿宋_GB2312"/>
          <w:kern w:val="0"/>
          <w:sz w:val="28"/>
          <w:szCs w:val="28"/>
          <w:lang w:val="en-US" w:eastAsia="zh-CN"/>
        </w:rPr>
        <w:t>22</w:t>
      </w:r>
      <w:r>
        <w:rPr>
          <w:rFonts w:eastAsia="仿宋_GB2312"/>
          <w:kern w:val="0"/>
          <w:sz w:val="28"/>
          <w:szCs w:val="28"/>
        </w:rPr>
        <w:t xml:space="preserve">  旅游厕所质量等级的划分与评定</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GB/T 31384  旅游景区公共信息导向系统设置规范</w:t>
      </w:r>
    </w:p>
    <w:p>
      <w:pPr>
        <w:autoSpaceDE w:val="0"/>
        <w:autoSpaceDN w:val="0"/>
        <w:adjustRightInd w:val="0"/>
        <w:snapToGrid w:val="0"/>
        <w:spacing w:beforeLines="0" w:afterLines="0" w:line="579" w:lineRule="exact"/>
        <w:ind w:firstLine="560" w:firstLineChars="200"/>
        <w:rPr>
          <w:rFonts w:hint="eastAsia" w:eastAsia="仿宋_GB2312"/>
          <w:kern w:val="0"/>
          <w:sz w:val="28"/>
          <w:szCs w:val="28"/>
          <w:lang w:val="en-US" w:eastAsia="zh-CN"/>
        </w:rPr>
      </w:pPr>
      <w:r>
        <w:rPr>
          <w:rFonts w:hint="eastAsia" w:eastAsia="仿宋_GB2312"/>
          <w:kern w:val="0"/>
          <w:sz w:val="28"/>
          <w:szCs w:val="28"/>
          <w:lang w:val="en-US" w:eastAsia="zh-CN"/>
        </w:rPr>
        <w:t>GB 50763  无障碍设计规范</w:t>
      </w:r>
    </w:p>
    <w:p>
      <w:pPr>
        <w:autoSpaceDE w:val="0"/>
        <w:autoSpaceDN w:val="0"/>
        <w:adjustRightInd w:val="0"/>
        <w:snapToGrid w:val="0"/>
        <w:spacing w:beforeLines="0" w:afterLines="0" w:line="579" w:lineRule="exact"/>
        <w:ind w:firstLine="560" w:firstLineChars="200"/>
        <w:rPr>
          <w:rFonts w:hint="default" w:eastAsia="仿宋_GB2312"/>
          <w:kern w:val="0"/>
          <w:sz w:val="28"/>
          <w:szCs w:val="28"/>
          <w:lang w:val="en-US" w:eastAsia="zh-CN"/>
        </w:rPr>
      </w:pPr>
      <w:r>
        <w:rPr>
          <w:rFonts w:hint="eastAsia" w:eastAsia="仿宋_GB2312"/>
          <w:kern w:val="0"/>
          <w:sz w:val="28"/>
          <w:szCs w:val="28"/>
          <w:lang w:val="en-US" w:eastAsia="zh-CN"/>
        </w:rPr>
        <w:t>GB 9664  文化娱乐场所卫生标准</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37487  公共场所卫生管理规范</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37488  公共场所卫生指标及限值要求</w:t>
      </w:r>
    </w:p>
    <w:p>
      <w:pPr>
        <w:autoSpaceDE w:val="0"/>
        <w:autoSpaceDN w:val="0"/>
        <w:adjustRightInd w:val="0"/>
        <w:snapToGrid w:val="0"/>
        <w:spacing w:beforeLines="0" w:afterLines="0" w:line="579" w:lineRule="exact"/>
        <w:ind w:firstLine="560" w:firstLineChars="200"/>
        <w:rPr>
          <w:rFonts w:eastAsia="仿宋_GB2312"/>
          <w:kern w:val="0"/>
          <w:sz w:val="28"/>
          <w:szCs w:val="28"/>
        </w:rPr>
      </w:pPr>
      <w:r>
        <w:rPr>
          <w:rFonts w:eastAsia="仿宋_GB2312"/>
          <w:kern w:val="0"/>
          <w:sz w:val="28"/>
          <w:szCs w:val="28"/>
        </w:rPr>
        <w:t>GB 37489.1  公共场所卫生设计规范 第1部分：总则</w:t>
      </w:r>
    </w:p>
    <w:p>
      <w:pPr>
        <w:autoSpaceDE w:val="0"/>
        <w:autoSpaceDN w:val="0"/>
        <w:adjustRightInd w:val="0"/>
        <w:snapToGrid w:val="0"/>
        <w:spacing w:beforeLines="0" w:afterLines="0" w:line="579" w:lineRule="exact"/>
        <w:jc w:val="left"/>
        <w:rPr>
          <w:rFonts w:eastAsia="黑体"/>
          <w:bCs/>
          <w:kern w:val="0"/>
          <w:sz w:val="30"/>
          <w:szCs w:val="30"/>
        </w:rPr>
      </w:pPr>
      <w:r>
        <w:rPr>
          <w:rFonts w:eastAsia="黑体"/>
          <w:bCs/>
          <w:kern w:val="0"/>
          <w:sz w:val="30"/>
          <w:szCs w:val="30"/>
        </w:rPr>
        <w:t>3 术语和定义</w:t>
      </w:r>
    </w:p>
    <w:p>
      <w:pPr>
        <w:autoSpaceDE w:val="0"/>
        <w:autoSpaceDN w:val="0"/>
        <w:adjustRightInd w:val="0"/>
        <w:snapToGrid w:val="0"/>
        <w:spacing w:beforeLines="0" w:afterLines="0" w:line="579" w:lineRule="exact"/>
        <w:ind w:firstLine="560" w:firstLineChars="200"/>
        <w:jc w:val="left"/>
        <w:rPr>
          <w:rFonts w:eastAsia="仿宋_GB2312"/>
          <w:bCs/>
          <w:kern w:val="0"/>
          <w:sz w:val="28"/>
          <w:szCs w:val="28"/>
        </w:rPr>
      </w:pPr>
      <w:r>
        <w:rPr>
          <w:rFonts w:eastAsia="仿宋_GB2312"/>
          <w:bCs/>
          <w:kern w:val="0"/>
          <w:sz w:val="28"/>
          <w:szCs w:val="28"/>
        </w:rPr>
        <w:t>下列术语和定义适用于本文件。</w:t>
      </w:r>
    </w:p>
    <w:p>
      <w:pPr>
        <w:autoSpaceDE w:val="0"/>
        <w:autoSpaceDN w:val="0"/>
        <w:adjustRightInd w:val="0"/>
        <w:snapToGrid w:val="0"/>
        <w:spacing w:beforeLines="0" w:afterLines="0" w:line="579" w:lineRule="exact"/>
        <w:jc w:val="left"/>
        <w:rPr>
          <w:rFonts w:eastAsia="黑体"/>
          <w:bCs/>
          <w:kern w:val="0"/>
          <w:sz w:val="30"/>
          <w:szCs w:val="30"/>
        </w:rPr>
      </w:pPr>
      <w:r>
        <w:rPr>
          <w:rFonts w:eastAsia="黑体"/>
          <w:bCs/>
          <w:kern w:val="0"/>
          <w:sz w:val="30"/>
          <w:szCs w:val="30"/>
        </w:rPr>
        <w:t xml:space="preserve">3.1 </w:t>
      </w:r>
    </w:p>
    <w:p>
      <w:pPr>
        <w:autoSpaceDE w:val="0"/>
        <w:autoSpaceDN w:val="0"/>
        <w:adjustRightInd w:val="0"/>
        <w:snapToGrid w:val="0"/>
        <w:spacing w:beforeLines="0" w:afterLines="0" w:line="579" w:lineRule="exact"/>
        <w:ind w:firstLine="562" w:firstLineChars="200"/>
        <w:jc w:val="left"/>
        <w:rPr>
          <w:rFonts w:eastAsia="仿宋_GB2312"/>
          <w:b/>
          <w:kern w:val="0"/>
          <w:sz w:val="28"/>
          <w:szCs w:val="28"/>
        </w:rPr>
      </w:pPr>
      <w:r>
        <w:rPr>
          <w:rFonts w:eastAsia="仿宋_GB2312"/>
          <w:b/>
          <w:kern w:val="0"/>
          <w:sz w:val="28"/>
          <w:szCs w:val="28"/>
        </w:rPr>
        <w:t>工业旅游</w:t>
      </w:r>
    </w:p>
    <w:p>
      <w:pPr>
        <w:autoSpaceDE w:val="0"/>
        <w:autoSpaceDN w:val="0"/>
        <w:adjustRightInd w:val="0"/>
        <w:snapToGrid w:val="0"/>
        <w:spacing w:beforeLines="0" w:afterLines="0" w:line="579" w:lineRule="exact"/>
        <w:ind w:firstLine="560" w:firstLineChars="200"/>
        <w:jc w:val="left"/>
        <w:rPr>
          <w:rFonts w:eastAsia="仿宋_GB2312"/>
          <w:kern w:val="0"/>
          <w:sz w:val="28"/>
          <w:szCs w:val="28"/>
        </w:rPr>
      </w:pPr>
      <w:r>
        <w:rPr>
          <w:rFonts w:eastAsia="仿宋_GB2312"/>
          <w:kern w:val="0"/>
          <w:sz w:val="28"/>
          <w:szCs w:val="28"/>
        </w:rPr>
        <w:t>以工业生产遗址遗迹、工厂风貌，以及其发展历史、发展成就、产业形态、企业文化等为主要吸引物，或以运营中的工厂企业、高新技术企业（制造业）、现代工厂</w:t>
      </w:r>
      <w:r>
        <w:rPr>
          <w:rFonts w:hint="eastAsia" w:eastAsia="仿宋_GB2312"/>
          <w:kern w:val="0"/>
          <w:sz w:val="28"/>
          <w:szCs w:val="28"/>
          <w:lang w:eastAsia="zh-CN"/>
        </w:rPr>
        <w:t>，</w:t>
      </w:r>
      <w:r>
        <w:rPr>
          <w:rFonts w:eastAsia="仿宋_GB2312"/>
          <w:kern w:val="0"/>
          <w:sz w:val="28"/>
          <w:szCs w:val="28"/>
        </w:rPr>
        <w:t>以及反映体现工业重大事件或技术成果的重要工程和项目等为主要吸引物，</w:t>
      </w:r>
      <w:r>
        <w:rPr>
          <w:rFonts w:hint="eastAsia" w:eastAsia="仿宋_GB2312"/>
          <w:kern w:val="0"/>
          <w:sz w:val="28"/>
          <w:szCs w:val="28"/>
          <w:lang w:val="en-US" w:eastAsia="zh-CN"/>
        </w:rPr>
        <w:t>组织</w:t>
      </w:r>
      <w:r>
        <w:rPr>
          <w:rFonts w:eastAsia="仿宋_GB2312"/>
          <w:kern w:val="0"/>
          <w:sz w:val="28"/>
          <w:szCs w:val="28"/>
        </w:rPr>
        <w:t>开展参观、游览、体验、购物等</w:t>
      </w:r>
      <w:r>
        <w:rPr>
          <w:rFonts w:hint="eastAsia" w:eastAsia="仿宋_GB2312"/>
          <w:kern w:val="0"/>
          <w:sz w:val="28"/>
          <w:szCs w:val="28"/>
          <w:lang w:val="en-US" w:eastAsia="zh-CN"/>
        </w:rPr>
        <w:t>活动的</w:t>
      </w:r>
      <w:r>
        <w:rPr>
          <w:rFonts w:eastAsia="仿宋_GB2312"/>
          <w:kern w:val="0"/>
          <w:sz w:val="28"/>
          <w:szCs w:val="28"/>
        </w:rPr>
        <w:t>主题型旅游活动。</w:t>
      </w:r>
    </w:p>
    <w:p>
      <w:pPr>
        <w:autoSpaceDE w:val="0"/>
        <w:autoSpaceDN w:val="0"/>
        <w:adjustRightInd w:val="0"/>
        <w:snapToGrid w:val="0"/>
        <w:spacing w:beforeLines="0" w:afterLines="0" w:line="579" w:lineRule="exact"/>
        <w:jc w:val="left"/>
        <w:rPr>
          <w:rFonts w:eastAsia="黑体"/>
          <w:bCs/>
          <w:kern w:val="0"/>
          <w:sz w:val="30"/>
          <w:szCs w:val="30"/>
        </w:rPr>
      </w:pPr>
      <w:r>
        <w:rPr>
          <w:rFonts w:eastAsia="黑体"/>
          <w:bCs/>
          <w:kern w:val="0"/>
          <w:sz w:val="30"/>
          <w:szCs w:val="30"/>
        </w:rPr>
        <w:t xml:space="preserve">3.2 </w:t>
      </w:r>
    </w:p>
    <w:p>
      <w:pPr>
        <w:autoSpaceDE w:val="0"/>
        <w:autoSpaceDN w:val="0"/>
        <w:adjustRightInd w:val="0"/>
        <w:snapToGrid w:val="0"/>
        <w:spacing w:beforeLines="0" w:afterLines="0" w:line="579" w:lineRule="exact"/>
        <w:ind w:firstLine="562" w:firstLineChars="200"/>
        <w:jc w:val="left"/>
        <w:rPr>
          <w:rFonts w:eastAsia="仿宋_GB2312"/>
          <w:b/>
          <w:bCs/>
          <w:kern w:val="0"/>
          <w:sz w:val="28"/>
          <w:szCs w:val="28"/>
        </w:rPr>
      </w:pPr>
      <w:r>
        <w:rPr>
          <w:rFonts w:eastAsia="仿宋_GB2312"/>
          <w:b/>
          <w:bCs/>
          <w:kern w:val="0"/>
          <w:sz w:val="28"/>
          <w:szCs w:val="28"/>
        </w:rPr>
        <w:t xml:space="preserve">工业旅游示范点（区） </w:t>
      </w:r>
    </w:p>
    <w:p>
      <w:pPr>
        <w:autoSpaceDE w:val="0"/>
        <w:autoSpaceDN w:val="0"/>
        <w:adjustRightInd w:val="0"/>
        <w:snapToGrid w:val="0"/>
        <w:spacing w:beforeLines="0" w:afterLines="0" w:line="579" w:lineRule="exact"/>
        <w:ind w:firstLine="560" w:firstLineChars="200"/>
        <w:jc w:val="left"/>
        <w:rPr>
          <w:rFonts w:eastAsia="仿宋_GB2312"/>
          <w:b/>
          <w:bCs/>
          <w:kern w:val="0"/>
          <w:sz w:val="28"/>
          <w:szCs w:val="28"/>
        </w:rPr>
      </w:pPr>
      <w:r>
        <w:rPr>
          <w:rFonts w:eastAsia="仿宋_GB2312"/>
          <w:kern w:val="0"/>
          <w:sz w:val="28"/>
          <w:szCs w:val="28"/>
        </w:rPr>
        <w:t>有明确的空间边界，必要的旅游服务设施和统一的经营管理机构，适合组织开展工业旅游（3.1）活动，对工业旅游发展具有一定示范引领作用的企事业单位或工业集聚区。</w:t>
      </w:r>
    </w:p>
    <w:p>
      <w:pPr>
        <w:autoSpaceDE w:val="0"/>
        <w:autoSpaceDN w:val="0"/>
        <w:adjustRightInd w:val="0"/>
        <w:snapToGrid w:val="0"/>
        <w:spacing w:beforeLines="0" w:afterLines="0" w:line="579" w:lineRule="exact"/>
        <w:jc w:val="left"/>
        <w:rPr>
          <w:rFonts w:eastAsia="仿宋_GB2312"/>
          <w:kern w:val="0"/>
          <w:sz w:val="30"/>
          <w:szCs w:val="30"/>
        </w:rPr>
      </w:pPr>
      <w:r>
        <w:rPr>
          <w:rFonts w:eastAsia="仿宋_GB2312"/>
          <w:kern w:val="0"/>
          <w:sz w:val="30"/>
          <w:szCs w:val="30"/>
        </w:rPr>
        <w:t>3.3</w:t>
      </w:r>
      <w:r>
        <w:rPr>
          <w:rFonts w:hint="eastAsia" w:eastAsia="仿宋_GB2312"/>
          <w:kern w:val="0"/>
          <w:sz w:val="30"/>
          <w:szCs w:val="30"/>
        </w:rPr>
        <w:t xml:space="preserve"> </w:t>
      </w:r>
    </w:p>
    <w:p>
      <w:pPr>
        <w:autoSpaceDE w:val="0"/>
        <w:autoSpaceDN w:val="0"/>
        <w:adjustRightInd w:val="0"/>
        <w:snapToGrid w:val="0"/>
        <w:spacing w:beforeLines="0" w:afterLines="0" w:line="579" w:lineRule="exact"/>
        <w:ind w:firstLine="562" w:firstLineChars="200"/>
        <w:jc w:val="left"/>
        <w:rPr>
          <w:rFonts w:eastAsia="仿宋_GB2312"/>
          <w:b/>
          <w:bCs/>
          <w:kern w:val="0"/>
          <w:sz w:val="28"/>
          <w:szCs w:val="28"/>
        </w:rPr>
      </w:pPr>
      <w:r>
        <w:rPr>
          <w:rFonts w:eastAsia="仿宋_GB2312"/>
          <w:b/>
          <w:bCs/>
          <w:kern w:val="0"/>
          <w:sz w:val="28"/>
          <w:szCs w:val="28"/>
        </w:rPr>
        <w:t xml:space="preserve">工业遗产 </w:t>
      </w:r>
    </w:p>
    <w:p>
      <w:pPr>
        <w:autoSpaceDE w:val="0"/>
        <w:autoSpaceDN w:val="0"/>
        <w:adjustRightInd w:val="0"/>
        <w:snapToGrid w:val="0"/>
        <w:spacing w:beforeLines="0" w:afterLines="0" w:line="579" w:lineRule="exact"/>
        <w:ind w:firstLine="560" w:firstLineChars="200"/>
        <w:jc w:val="left"/>
        <w:rPr>
          <w:rFonts w:eastAsia="仿宋_GB2312"/>
          <w:kern w:val="0"/>
          <w:sz w:val="28"/>
          <w:szCs w:val="28"/>
        </w:rPr>
      </w:pPr>
      <w:r>
        <w:rPr>
          <w:rFonts w:eastAsia="仿宋_GB2312"/>
          <w:kern w:val="0"/>
          <w:sz w:val="28"/>
          <w:szCs w:val="28"/>
        </w:rPr>
        <w:t xml:space="preserve">为工业活动所建造的建筑与结构、此类建筑与结构中所含的工艺和工具、此类建筑与结构所处的城镇与景观，以及与其有关的各种物质和非物质表现。 </w:t>
      </w:r>
    </w:p>
    <w:p>
      <w:pPr>
        <w:autoSpaceDE w:val="0"/>
        <w:autoSpaceDN w:val="0"/>
        <w:adjustRightInd w:val="0"/>
        <w:snapToGrid w:val="0"/>
        <w:spacing w:beforeLines="0" w:afterLines="0" w:line="579" w:lineRule="exact"/>
        <w:ind w:firstLine="0" w:firstLineChars="0"/>
        <w:jc w:val="left"/>
        <w:rPr>
          <w:rFonts w:eastAsia="黑体"/>
          <w:bCs/>
          <w:kern w:val="0"/>
          <w:sz w:val="30"/>
          <w:szCs w:val="30"/>
        </w:rPr>
      </w:pPr>
      <w:r>
        <w:rPr>
          <w:rFonts w:eastAsia="黑体"/>
          <w:bCs/>
          <w:kern w:val="0"/>
          <w:sz w:val="30"/>
          <w:szCs w:val="30"/>
        </w:rPr>
        <w:t>4 必备条件</w:t>
      </w:r>
    </w:p>
    <w:p>
      <w:pPr>
        <w:autoSpaceDE w:val="0"/>
        <w:autoSpaceDN w:val="0"/>
        <w:adjustRightInd w:val="0"/>
        <w:snapToGrid w:val="0"/>
        <w:spacing w:beforeLines="0" w:afterLines="0" w:line="579" w:lineRule="exact"/>
        <w:jc w:val="left"/>
        <w:rPr>
          <w:rFonts w:eastAsia="仿宋_GB2312"/>
          <w:kern w:val="0"/>
          <w:sz w:val="28"/>
          <w:szCs w:val="28"/>
        </w:rPr>
      </w:pPr>
      <w:r>
        <w:rPr>
          <w:rFonts w:eastAsia="仿宋_GB2312"/>
          <w:kern w:val="0"/>
          <w:sz w:val="30"/>
          <w:szCs w:val="30"/>
        </w:rPr>
        <w:t>4.1</w:t>
      </w:r>
      <w:r>
        <w:rPr>
          <w:rFonts w:eastAsia="仿宋_GB2312"/>
          <w:kern w:val="0"/>
          <w:sz w:val="28"/>
          <w:szCs w:val="28"/>
        </w:rPr>
        <w:t xml:space="preserve"> 主体明晰，</w:t>
      </w:r>
      <w:r>
        <w:rPr>
          <w:rFonts w:hint="eastAsia" w:eastAsia="仿宋_GB2312"/>
          <w:kern w:val="0"/>
          <w:sz w:val="28"/>
          <w:szCs w:val="28"/>
          <w:lang w:val="en-US" w:eastAsia="zh-CN"/>
        </w:rPr>
        <w:t>在珠海市行政区域内开展生产经营活动，具备有效的营业执照或管理机构证明文件，合法经营一年以上。</w:t>
      </w:r>
    </w:p>
    <w:p>
      <w:pPr>
        <w:autoSpaceDE w:val="0"/>
        <w:autoSpaceDN w:val="0"/>
        <w:adjustRightInd w:val="0"/>
        <w:snapToGrid w:val="0"/>
        <w:spacing w:beforeLines="0" w:afterLines="0" w:line="579" w:lineRule="exact"/>
        <w:jc w:val="left"/>
        <w:rPr>
          <w:rFonts w:eastAsia="仿宋_GB2312"/>
          <w:kern w:val="0"/>
          <w:sz w:val="28"/>
          <w:szCs w:val="28"/>
        </w:rPr>
      </w:pPr>
      <w:r>
        <w:rPr>
          <w:rFonts w:eastAsia="仿宋_GB2312"/>
          <w:kern w:val="0"/>
          <w:sz w:val="30"/>
          <w:szCs w:val="30"/>
        </w:rPr>
        <w:t xml:space="preserve">4.2 </w:t>
      </w:r>
      <w:r>
        <w:rPr>
          <w:rFonts w:eastAsia="仿宋_GB2312"/>
          <w:kern w:val="0"/>
          <w:sz w:val="28"/>
          <w:szCs w:val="28"/>
        </w:rPr>
        <w:t>产权明晰，有明确的空间边界，项目建设符合用地规划，内部空间关联紧密，交通连接方便快捷。</w:t>
      </w:r>
    </w:p>
    <w:p>
      <w:pPr>
        <w:autoSpaceDE w:val="0"/>
        <w:autoSpaceDN w:val="0"/>
        <w:adjustRightInd w:val="0"/>
        <w:snapToGrid w:val="0"/>
        <w:spacing w:beforeLines="0" w:afterLines="0" w:line="579" w:lineRule="exact"/>
        <w:jc w:val="left"/>
        <w:rPr>
          <w:rFonts w:eastAsia="仿宋_GB2312"/>
          <w:kern w:val="0"/>
          <w:sz w:val="28"/>
          <w:szCs w:val="28"/>
        </w:rPr>
      </w:pPr>
      <w:r>
        <w:rPr>
          <w:rFonts w:eastAsia="仿宋_GB2312"/>
          <w:kern w:val="0"/>
          <w:sz w:val="30"/>
          <w:szCs w:val="30"/>
        </w:rPr>
        <w:t xml:space="preserve">4.3 </w:t>
      </w:r>
      <w:r>
        <w:rPr>
          <w:rFonts w:eastAsia="仿宋_GB2312"/>
          <w:kern w:val="0"/>
          <w:sz w:val="28"/>
          <w:szCs w:val="28"/>
        </w:rPr>
        <w:t>具备一定的工业旅游资源和景观质量，并以提供游览服务为重要功能。</w:t>
      </w:r>
    </w:p>
    <w:p>
      <w:pPr>
        <w:autoSpaceDE w:val="0"/>
        <w:autoSpaceDN w:val="0"/>
        <w:adjustRightInd w:val="0"/>
        <w:snapToGrid w:val="0"/>
        <w:spacing w:beforeLines="0" w:afterLines="0" w:line="579" w:lineRule="exact"/>
        <w:jc w:val="left"/>
        <w:rPr>
          <w:rFonts w:hint="eastAsia" w:eastAsia="仿宋_GB2312"/>
          <w:kern w:val="0"/>
          <w:sz w:val="30"/>
          <w:szCs w:val="30"/>
          <w:lang w:val="en-US" w:eastAsia="zh-CN"/>
        </w:rPr>
      </w:pPr>
      <w:r>
        <w:rPr>
          <w:rFonts w:eastAsia="仿宋_GB2312"/>
          <w:kern w:val="0"/>
          <w:sz w:val="30"/>
          <w:szCs w:val="30"/>
        </w:rPr>
        <w:t xml:space="preserve">4.4 </w:t>
      </w:r>
      <w:r>
        <w:rPr>
          <w:rFonts w:hint="eastAsia" w:eastAsia="仿宋_GB2312"/>
          <w:kern w:val="0"/>
          <w:sz w:val="28"/>
          <w:szCs w:val="28"/>
          <w:lang w:val="en-US" w:eastAsia="zh-CN"/>
        </w:rPr>
        <w:t>具有旅游经营管理机构和旅游从业人员。</w:t>
      </w:r>
    </w:p>
    <w:p>
      <w:pPr>
        <w:autoSpaceDE w:val="0"/>
        <w:autoSpaceDN w:val="0"/>
        <w:adjustRightInd w:val="0"/>
        <w:snapToGrid w:val="0"/>
        <w:spacing w:beforeLines="0" w:afterLines="0" w:line="579" w:lineRule="exact"/>
        <w:jc w:val="left"/>
        <w:rPr>
          <w:rFonts w:eastAsia="仿宋_GB2312"/>
          <w:kern w:val="0"/>
          <w:sz w:val="28"/>
          <w:szCs w:val="28"/>
        </w:rPr>
      </w:pPr>
      <w:r>
        <w:rPr>
          <w:rFonts w:hint="eastAsia" w:eastAsia="仿宋_GB2312"/>
          <w:kern w:val="0"/>
          <w:sz w:val="30"/>
          <w:szCs w:val="30"/>
          <w:lang w:val="en-US" w:eastAsia="zh-CN"/>
        </w:rPr>
        <w:t xml:space="preserve">4.5 </w:t>
      </w:r>
      <w:r>
        <w:rPr>
          <w:rFonts w:hint="eastAsia" w:eastAsia="仿宋_GB2312"/>
          <w:kern w:val="0"/>
          <w:sz w:val="28"/>
          <w:szCs w:val="28"/>
          <w:lang w:val="en-US" w:eastAsia="zh-CN"/>
        </w:rPr>
        <w:t>有必要安全设施和制度，经安全风险评估，满足安全条件。经营不满三年的，截止申报时未发生较大生产安全责任事故或亡人火灾事故；经营三年以上的，近三年内未发生较大生产安全责任事故或亡人火灾事故；公布并严格执行主管部门核定的最大承载量，制定旅游者安全保护制度和应急预案。</w:t>
      </w:r>
    </w:p>
    <w:p>
      <w:pPr>
        <w:autoSpaceDE w:val="0"/>
        <w:autoSpaceDN w:val="0"/>
        <w:adjustRightInd w:val="0"/>
        <w:snapToGrid w:val="0"/>
        <w:spacing w:beforeLines="0" w:afterLines="0" w:line="579" w:lineRule="exact"/>
        <w:jc w:val="left"/>
        <w:rPr>
          <w:rFonts w:hint="eastAsia" w:eastAsia="仿宋_GB2312"/>
          <w:kern w:val="0"/>
          <w:sz w:val="28"/>
          <w:szCs w:val="28"/>
          <w:lang w:val="en-US" w:eastAsia="zh-CN"/>
        </w:rPr>
      </w:pPr>
      <w:r>
        <w:rPr>
          <w:rFonts w:eastAsia="仿宋_GB2312"/>
          <w:kern w:val="0"/>
          <w:sz w:val="30"/>
          <w:szCs w:val="30"/>
        </w:rPr>
        <w:t xml:space="preserve">4.5 </w:t>
      </w:r>
      <w:r>
        <w:rPr>
          <w:rFonts w:hint="eastAsia" w:eastAsia="仿宋_GB2312"/>
          <w:kern w:val="0"/>
          <w:sz w:val="28"/>
          <w:szCs w:val="28"/>
          <w:lang w:val="en-US" w:eastAsia="zh-CN"/>
        </w:rPr>
        <w:t>有必要的环境保护设施和生态保护措施。经营不满三年的，截止申报时未发生重、特大环境污染事故；经营三年以上的，近三年内未发生重、特大环境污染事故。</w:t>
      </w:r>
    </w:p>
    <w:p>
      <w:pPr>
        <w:autoSpaceDE w:val="0"/>
        <w:autoSpaceDN w:val="0"/>
        <w:adjustRightInd w:val="0"/>
        <w:snapToGrid w:val="0"/>
        <w:spacing w:beforeLines="0" w:afterLines="0" w:line="579" w:lineRule="exact"/>
        <w:jc w:val="left"/>
        <w:rPr>
          <w:rFonts w:eastAsia="仿宋_GB2312"/>
          <w:kern w:val="0"/>
          <w:sz w:val="28"/>
          <w:szCs w:val="28"/>
        </w:rPr>
      </w:pPr>
      <w:r>
        <w:rPr>
          <w:rFonts w:eastAsia="仿宋_GB2312"/>
          <w:kern w:val="0"/>
          <w:sz w:val="30"/>
          <w:szCs w:val="30"/>
        </w:rPr>
        <w:t xml:space="preserve">4.6 </w:t>
      </w:r>
      <w:r>
        <w:rPr>
          <w:rFonts w:hint="eastAsia" w:eastAsia="仿宋_GB2312"/>
          <w:kern w:val="0"/>
          <w:sz w:val="28"/>
          <w:szCs w:val="28"/>
          <w:lang w:val="en-US" w:eastAsia="zh-CN"/>
        </w:rPr>
        <w:t>诚信经营。经营不满三年的，截止申报时未发生重大市场失信和价格欺诈等问题；经营三年以上的，近三年内未发生重大市场失信和价格欺诈等问题。</w:t>
      </w:r>
    </w:p>
    <w:p>
      <w:pPr>
        <w:autoSpaceDE w:val="0"/>
        <w:autoSpaceDN w:val="0"/>
        <w:adjustRightInd w:val="0"/>
        <w:snapToGrid w:val="0"/>
        <w:spacing w:beforeLines="0" w:afterLines="0" w:line="579" w:lineRule="exact"/>
        <w:jc w:val="left"/>
        <w:rPr>
          <w:rFonts w:eastAsia="仿宋_GB2312"/>
          <w:kern w:val="0"/>
          <w:sz w:val="28"/>
          <w:szCs w:val="28"/>
        </w:rPr>
      </w:pPr>
      <w:r>
        <w:rPr>
          <w:rFonts w:eastAsia="仿宋_GB2312"/>
          <w:kern w:val="0"/>
          <w:sz w:val="30"/>
          <w:szCs w:val="30"/>
        </w:rPr>
        <w:t xml:space="preserve">4.7 </w:t>
      </w:r>
      <w:r>
        <w:rPr>
          <w:rFonts w:eastAsia="仿宋_GB2312"/>
          <w:kern w:val="0"/>
          <w:sz w:val="28"/>
          <w:szCs w:val="28"/>
        </w:rPr>
        <w:t>培育和践行社会主义核心价值观，倡导文明旅游和绿色消费。</w:t>
      </w:r>
    </w:p>
    <w:p>
      <w:pPr>
        <w:autoSpaceDE w:val="0"/>
        <w:autoSpaceDN w:val="0"/>
        <w:adjustRightInd w:val="0"/>
        <w:snapToGrid w:val="0"/>
        <w:spacing w:beforeLines="0" w:afterLines="0" w:line="579" w:lineRule="exact"/>
        <w:jc w:val="left"/>
        <w:rPr>
          <w:rFonts w:eastAsia="黑体"/>
          <w:kern w:val="0"/>
          <w:sz w:val="30"/>
          <w:szCs w:val="30"/>
        </w:rPr>
      </w:pPr>
      <w:r>
        <w:rPr>
          <w:rFonts w:eastAsia="黑体"/>
          <w:bCs/>
          <w:kern w:val="0"/>
          <w:sz w:val="30"/>
          <w:szCs w:val="30"/>
        </w:rPr>
        <w:t>5 基本条件</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28"/>
          <w:szCs w:val="28"/>
        </w:rPr>
        <w:t>5.1资源价值</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5.1.1 </w:t>
      </w:r>
      <w:r>
        <w:rPr>
          <w:rFonts w:ascii="Times New Roman" w:eastAsia="仿宋_GB2312"/>
          <w:sz w:val="28"/>
          <w:szCs w:val="28"/>
        </w:rPr>
        <w:t>具有一定的工业文化历史价值、科学价值或科普价值</w:t>
      </w:r>
      <w:r>
        <w:rPr>
          <w:rFonts w:hint="eastAsia" w:ascii="Times New Roman" w:eastAsia="仿宋_GB2312"/>
          <w:sz w:val="28"/>
          <w:szCs w:val="28"/>
          <w:lang w:eastAsia="zh-CN"/>
        </w:rPr>
        <w:t>、</w:t>
      </w:r>
      <w:r>
        <w:rPr>
          <w:rFonts w:ascii="Times New Roman" w:eastAsia="仿宋_GB2312"/>
          <w:sz w:val="28"/>
          <w:szCs w:val="28"/>
        </w:rPr>
        <w:t>观赏</w:t>
      </w:r>
      <w:r>
        <w:rPr>
          <w:rFonts w:hint="eastAsia" w:ascii="Times New Roman" w:eastAsia="仿宋_GB2312"/>
          <w:sz w:val="28"/>
          <w:szCs w:val="28"/>
          <w:lang w:val="en-US" w:eastAsia="zh-CN"/>
        </w:rPr>
        <w:t>游览</w:t>
      </w:r>
      <w:r>
        <w:rPr>
          <w:rFonts w:ascii="Times New Roman" w:eastAsia="仿宋_GB2312"/>
          <w:sz w:val="28"/>
          <w:szCs w:val="28"/>
        </w:rPr>
        <w:t>价值，或其中一类价值具有市级或以上意义。</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5.1.2 </w:t>
      </w:r>
      <w:r>
        <w:rPr>
          <w:rFonts w:ascii="Times New Roman" w:eastAsia="仿宋_GB2312"/>
          <w:sz w:val="28"/>
          <w:szCs w:val="28"/>
        </w:rPr>
        <w:t>资源实体基本完整，具有一定体量，分布空间连续、管理统一。</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5.1.3 </w:t>
      </w:r>
      <w:r>
        <w:rPr>
          <w:rFonts w:ascii="Times New Roman" w:eastAsia="仿宋_GB2312"/>
          <w:sz w:val="28"/>
          <w:szCs w:val="28"/>
        </w:rPr>
        <w:t>游览线路应对工业生产、工艺流程、建筑景观、科技成果、工业遗产等内容进行充分展示，特色明显，具有一定的独创性或较强的体验性。</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5.1.4</w:t>
      </w:r>
      <w:r>
        <w:rPr>
          <w:rFonts w:hint="eastAsia" w:ascii="Times New Roman" w:eastAsia="仿宋_GB2312"/>
          <w:sz w:val="30"/>
          <w:szCs w:val="30"/>
          <w:lang w:val="en-US" w:eastAsia="zh-CN"/>
        </w:rPr>
        <w:t xml:space="preserve"> </w:t>
      </w:r>
      <w:r>
        <w:rPr>
          <w:rFonts w:ascii="Times New Roman" w:eastAsia="仿宋_GB2312"/>
          <w:sz w:val="28"/>
          <w:szCs w:val="28"/>
        </w:rPr>
        <w:t>年接待旅游者3000人次以上。</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5.2 </w:t>
      </w:r>
      <w:r>
        <w:rPr>
          <w:rFonts w:ascii="Times New Roman" w:eastAsia="仿宋_GB2312"/>
          <w:b/>
          <w:bCs/>
          <w:sz w:val="28"/>
          <w:szCs w:val="28"/>
        </w:rPr>
        <w:t xml:space="preserve">环境条件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5.2.1 </w:t>
      </w:r>
      <w:r>
        <w:rPr>
          <w:rFonts w:ascii="Times New Roman" w:eastAsia="仿宋_GB2312"/>
          <w:sz w:val="28"/>
          <w:szCs w:val="28"/>
        </w:rPr>
        <w:t>环境空气质量应符合</w:t>
      </w:r>
      <w:r>
        <w:rPr>
          <w:rFonts w:hint="eastAsia" w:ascii="Times New Roman" w:eastAsia="仿宋_GB2312"/>
          <w:sz w:val="28"/>
          <w:szCs w:val="28"/>
        </w:rPr>
        <w:t>《珠海市生态环境局关于印发</w:t>
      </w:r>
      <w:r>
        <w:rPr>
          <w:rFonts w:hint="eastAsia" w:ascii="Times New Roman" w:eastAsia="仿宋_GB2312"/>
          <w:sz w:val="28"/>
          <w:szCs w:val="28"/>
          <w:lang w:val="en-US" w:eastAsia="zh-CN"/>
        </w:rPr>
        <w:t>&lt;</w:t>
      </w:r>
      <w:r>
        <w:rPr>
          <w:rFonts w:hint="eastAsia" w:ascii="Times New Roman" w:eastAsia="仿宋_GB2312"/>
          <w:sz w:val="28"/>
          <w:szCs w:val="28"/>
        </w:rPr>
        <w:t>珠海市环境空气质量功能区划分（2022年修订）</w:t>
      </w:r>
      <w:r>
        <w:rPr>
          <w:rFonts w:hint="eastAsia" w:ascii="Times New Roman" w:eastAsia="仿宋_GB2312"/>
          <w:sz w:val="28"/>
          <w:szCs w:val="28"/>
          <w:lang w:val="en-US" w:eastAsia="zh-CN"/>
        </w:rPr>
        <w:t>&gt;</w:t>
      </w:r>
      <w:r>
        <w:rPr>
          <w:rFonts w:hint="eastAsia" w:ascii="Times New Roman" w:eastAsia="仿宋_GB2312"/>
          <w:sz w:val="28"/>
          <w:szCs w:val="28"/>
        </w:rPr>
        <w:t>的通知》（珠环〔2022〕197 号）</w:t>
      </w:r>
      <w:r>
        <w:rPr>
          <w:rFonts w:hint="eastAsia" w:ascii="Times New Roman" w:eastAsia="仿宋_GB2312"/>
          <w:sz w:val="28"/>
          <w:szCs w:val="28"/>
          <w:lang w:val="en-US" w:eastAsia="zh-CN"/>
        </w:rPr>
        <w:t>的要求</w:t>
      </w:r>
      <w:r>
        <w:rPr>
          <w:rFonts w:ascii="Times New Roman" w:eastAsia="仿宋_GB2312"/>
          <w:sz w:val="28"/>
          <w:szCs w:val="28"/>
        </w:rPr>
        <w:t>。</w:t>
      </w:r>
    </w:p>
    <w:p>
      <w:pPr>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5.2.2</w:t>
      </w:r>
      <w:r>
        <w:rPr>
          <w:rFonts w:hint="eastAsia" w:eastAsia="仿宋_GB2312"/>
          <w:sz w:val="30"/>
          <w:szCs w:val="30"/>
          <w:lang w:val="en-US" w:eastAsia="zh-CN"/>
        </w:rPr>
        <w:t xml:space="preserve"> </w:t>
      </w:r>
      <w:r>
        <w:rPr>
          <w:rFonts w:hint="eastAsia" w:ascii="Times New Roman" w:eastAsia="仿宋_GB2312"/>
          <w:sz w:val="28"/>
          <w:szCs w:val="28"/>
        </w:rPr>
        <w:t>环境噪声应符合</w:t>
      </w:r>
      <w:r>
        <w:rPr>
          <w:rFonts w:ascii="Times New Roman" w:hAnsi="Times New Roman" w:eastAsia="仿宋_GB2312" w:cs="Times New Roman"/>
          <w:i w:val="0"/>
          <w:caps w:val="0"/>
          <w:color w:val="000000"/>
          <w:spacing w:val="0"/>
          <w:kern w:val="0"/>
          <w:sz w:val="28"/>
          <w:szCs w:val="28"/>
          <w:shd w:val="clear" w:fill="FFFFFF"/>
          <w:lang w:val="en-US" w:eastAsia="zh-CN" w:bidi="ar-SA"/>
        </w:rPr>
        <w:t>《珠海市生态环境局关于印发珠海市声环境功能区区划的通知》（珠环〔2020〕177号）</w:t>
      </w:r>
      <w:r>
        <w:rPr>
          <w:rFonts w:hint="eastAsia" w:ascii="Times New Roman" w:eastAsia="仿宋_GB2312"/>
          <w:sz w:val="28"/>
          <w:szCs w:val="28"/>
        </w:rPr>
        <w:t>的要求</w:t>
      </w:r>
      <w:r>
        <w:rPr>
          <w:rFonts w:ascii="Times New Roman" w:eastAsia="仿宋_GB2312"/>
          <w:sz w:val="28"/>
          <w:szCs w:val="28"/>
        </w:rPr>
        <w:t xml:space="preserve">。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5.2.3 </w:t>
      </w:r>
      <w:r>
        <w:rPr>
          <w:rFonts w:ascii="Times New Roman" w:eastAsia="仿宋_GB2312"/>
          <w:sz w:val="28"/>
          <w:szCs w:val="28"/>
        </w:rPr>
        <w:t xml:space="preserve">地表水环境质量应符合 GB 3838-2002Ⅳ类的规定。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5.</w:t>
      </w:r>
      <w:r>
        <w:rPr>
          <w:rFonts w:hint="eastAsia" w:ascii="Times New Roman" w:eastAsia="仿宋_GB2312"/>
          <w:sz w:val="30"/>
          <w:szCs w:val="30"/>
        </w:rPr>
        <w:t>2</w:t>
      </w:r>
      <w:r>
        <w:rPr>
          <w:rFonts w:ascii="Times New Roman" w:eastAsia="仿宋_GB2312"/>
          <w:sz w:val="30"/>
          <w:szCs w:val="30"/>
        </w:rPr>
        <w:t xml:space="preserve">.4 </w:t>
      </w:r>
      <w:r>
        <w:rPr>
          <w:rFonts w:ascii="Times New Roman" w:eastAsia="仿宋_GB2312"/>
          <w:sz w:val="28"/>
          <w:szCs w:val="28"/>
        </w:rPr>
        <w:t xml:space="preserve">污水综合排放应符合 GB 8978-2002 三级标准的规定。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5.3 </w:t>
      </w:r>
      <w:r>
        <w:rPr>
          <w:rFonts w:ascii="Times New Roman" w:eastAsia="仿宋_GB2312"/>
          <w:b/>
          <w:bCs/>
          <w:sz w:val="28"/>
          <w:szCs w:val="28"/>
        </w:rPr>
        <w:t xml:space="preserve">旅游交通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5.3.1 </w:t>
      </w:r>
      <w:r>
        <w:rPr>
          <w:rFonts w:ascii="Times New Roman" w:eastAsia="仿宋_GB2312"/>
          <w:b/>
          <w:bCs/>
          <w:sz w:val="28"/>
          <w:szCs w:val="28"/>
        </w:rPr>
        <w:t xml:space="preserve">外部交通设施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5.3.1.1 </w:t>
      </w:r>
      <w:r>
        <w:rPr>
          <w:rFonts w:ascii="Times New Roman" w:eastAsia="仿宋_GB2312"/>
          <w:sz w:val="28"/>
          <w:szCs w:val="28"/>
        </w:rPr>
        <w:t xml:space="preserve">可进入性好，宜有城市公交或旅游专线车直达。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5.3.1.2</w:t>
      </w:r>
      <w:r>
        <w:rPr>
          <w:rFonts w:ascii="Times New Roman" w:eastAsia="仿宋_GB2312"/>
          <w:sz w:val="28"/>
          <w:szCs w:val="28"/>
        </w:rPr>
        <w:t xml:space="preserve">外部道路的交通标志和标线应符合 GB 5768.2 的规定。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5.3.2 </w:t>
      </w:r>
      <w:r>
        <w:rPr>
          <w:rFonts w:ascii="Times New Roman" w:eastAsia="仿宋_GB2312"/>
          <w:b/>
          <w:bCs/>
          <w:sz w:val="28"/>
          <w:szCs w:val="28"/>
        </w:rPr>
        <w:t xml:space="preserve">内部交通设施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5.3.2.1 </w:t>
      </w:r>
      <w:r>
        <w:rPr>
          <w:rFonts w:ascii="Times New Roman" w:eastAsia="仿宋_GB2312"/>
          <w:sz w:val="28"/>
          <w:szCs w:val="28"/>
        </w:rPr>
        <w:t xml:space="preserve">游览线路设置应合理。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5.3.2.2 </w:t>
      </w:r>
      <w:r>
        <w:rPr>
          <w:rFonts w:hint="eastAsia" w:ascii="Times New Roman" w:eastAsia="仿宋_GB2312"/>
          <w:sz w:val="28"/>
          <w:szCs w:val="28"/>
          <w:lang w:eastAsia="zh-CN"/>
        </w:rPr>
        <w:t>景区面积达到</w:t>
      </w:r>
      <w:r>
        <w:rPr>
          <w:rFonts w:hint="eastAsia" w:ascii="Times New Roman" w:eastAsia="仿宋_GB2312"/>
          <w:sz w:val="28"/>
          <w:szCs w:val="28"/>
          <w:lang w:val="en-US" w:eastAsia="zh-CN"/>
        </w:rPr>
        <w:t>10万平方米以上，</w:t>
      </w:r>
      <w:r>
        <w:rPr>
          <w:rFonts w:ascii="Times New Roman" w:eastAsia="仿宋_GB2312"/>
          <w:sz w:val="28"/>
          <w:szCs w:val="28"/>
        </w:rPr>
        <w:t>宜配备用于内部交通的电瓶车等绿色环保专用车辆。</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5.3.2.3 </w:t>
      </w:r>
      <w:r>
        <w:rPr>
          <w:rFonts w:ascii="Times New Roman" w:eastAsia="仿宋_GB2312"/>
          <w:sz w:val="28"/>
          <w:szCs w:val="28"/>
        </w:rPr>
        <w:t xml:space="preserve">在主要节点的醒目位置应设有指引标识牌，标识牌应布局合理，能够有效指引方向。公共信息图形符号应符合 GB/T 10001.1 和 GB/T 10001.2 的规定。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5.3.3 </w:t>
      </w:r>
      <w:r>
        <w:rPr>
          <w:rFonts w:ascii="Times New Roman" w:eastAsia="仿宋_GB2312"/>
          <w:b/>
          <w:bCs/>
          <w:sz w:val="28"/>
          <w:szCs w:val="28"/>
        </w:rPr>
        <w:t xml:space="preserve">停车场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5.3.3.1 </w:t>
      </w:r>
      <w:r>
        <w:rPr>
          <w:rFonts w:ascii="Times New Roman" w:eastAsia="仿宋_GB2312"/>
          <w:sz w:val="28"/>
          <w:szCs w:val="28"/>
        </w:rPr>
        <w:t xml:space="preserve">应有与工业旅游点（区）接待能力相匹配且有专人管理或智能化管理的专用停车场，或在200m内有能提供停车服务的社会停车场。停车场场地绿色生态、平整坚实、清洁美观。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sz w:val="30"/>
          <w:szCs w:val="30"/>
        </w:rPr>
        <w:t xml:space="preserve">5.3.3.2 </w:t>
      </w:r>
      <w:r>
        <w:rPr>
          <w:rFonts w:ascii="Times New Roman" w:eastAsia="仿宋_GB2312"/>
          <w:sz w:val="28"/>
          <w:szCs w:val="28"/>
        </w:rPr>
        <w:t xml:space="preserve">停车场标志规范、醒目，导向系统完善，游客车辆进出通道应方便、通畅。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5.4 </w:t>
      </w:r>
      <w:r>
        <w:rPr>
          <w:rFonts w:ascii="Times New Roman" w:eastAsia="仿宋_GB2312"/>
          <w:b/>
          <w:bCs/>
          <w:sz w:val="28"/>
          <w:szCs w:val="28"/>
        </w:rPr>
        <w:t xml:space="preserve">游览设施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5.4.1 </w:t>
      </w:r>
      <w:r>
        <w:rPr>
          <w:rFonts w:ascii="Times New Roman" w:eastAsia="仿宋_GB2312"/>
          <w:b/>
          <w:bCs/>
          <w:sz w:val="28"/>
          <w:szCs w:val="28"/>
        </w:rPr>
        <w:t xml:space="preserve">旅游接待设施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5.4.1.1 </w:t>
      </w:r>
      <w:r>
        <w:rPr>
          <w:rFonts w:ascii="Times New Roman" w:eastAsia="仿宋_GB2312"/>
          <w:sz w:val="28"/>
          <w:szCs w:val="28"/>
        </w:rPr>
        <w:t xml:space="preserve">应设有规模适宜的游客服务中心，位置合理、标识醒目、设施齐全、功能完备。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5.4.1.2 </w:t>
      </w:r>
      <w:r>
        <w:rPr>
          <w:rFonts w:ascii="Times New Roman" w:eastAsia="仿宋_GB2312"/>
          <w:sz w:val="28"/>
          <w:szCs w:val="28"/>
        </w:rPr>
        <w:t xml:space="preserve">应提供旅游咨询服务，服务人员数量合理、服务热情、着装统一。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5.4.1.3 </w:t>
      </w:r>
      <w:r>
        <w:rPr>
          <w:rFonts w:ascii="Times New Roman" w:eastAsia="仿宋_GB2312"/>
          <w:sz w:val="28"/>
          <w:szCs w:val="28"/>
        </w:rPr>
        <w:t xml:space="preserve">应设有游客休憩区域，宜提供饮水或饮料服务。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5.4.1.4 </w:t>
      </w:r>
      <w:r>
        <w:rPr>
          <w:rFonts w:ascii="Times New Roman" w:eastAsia="仿宋_GB2312"/>
          <w:sz w:val="28"/>
          <w:szCs w:val="28"/>
        </w:rPr>
        <w:t xml:space="preserve">应提供游览区介绍和导览图，以及相关宣传资料。宜设有触摸屏和视频播放设施，向游客系统地介绍游览区的各类信息。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5.4.1.5 </w:t>
      </w:r>
      <w:r>
        <w:rPr>
          <w:rFonts w:ascii="Times New Roman" w:eastAsia="仿宋_GB2312"/>
          <w:sz w:val="28"/>
          <w:szCs w:val="28"/>
        </w:rPr>
        <w:t xml:space="preserve">应在醒目位置公布游客参观及活动的注意事项，明示服务内容和收费信息。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5.4.2 </w:t>
      </w:r>
      <w:r>
        <w:rPr>
          <w:rFonts w:ascii="Times New Roman" w:eastAsia="仿宋_GB2312"/>
          <w:b/>
          <w:bCs/>
          <w:sz w:val="28"/>
          <w:szCs w:val="28"/>
        </w:rPr>
        <w:t xml:space="preserve">游览区域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5.4.2.1 </w:t>
      </w:r>
      <w:r>
        <w:rPr>
          <w:rFonts w:ascii="Times New Roman" w:eastAsia="仿宋_GB2312"/>
          <w:sz w:val="28"/>
          <w:szCs w:val="28"/>
        </w:rPr>
        <w:t xml:space="preserve">游览区域功能分区合理、环境优美，宜配备无障碍设施，无障碍设施应符合 GB 50763 的规定，无障碍设施符号应符合 GB/T 10001.9 的规定。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5.4.2.2 </w:t>
      </w:r>
      <w:r>
        <w:rPr>
          <w:rFonts w:ascii="Times New Roman" w:eastAsia="仿宋_GB2312"/>
          <w:sz w:val="28"/>
          <w:szCs w:val="28"/>
        </w:rPr>
        <w:t>游览线路设置合理，游览活动安排科学，游览区域内容丰富，能提供产品实物、生产流程、厂景厂貌、科技成果等形式多样的展示。</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5.4.2.3</w:t>
      </w:r>
      <w:r>
        <w:rPr>
          <w:rFonts w:hint="eastAsia" w:ascii="Times New Roman" w:eastAsia="仿宋_GB2312"/>
          <w:sz w:val="30"/>
          <w:szCs w:val="30"/>
        </w:rPr>
        <w:t xml:space="preserve"> </w:t>
      </w:r>
      <w:r>
        <w:rPr>
          <w:rFonts w:ascii="Times New Roman" w:eastAsia="仿宋_GB2312"/>
          <w:sz w:val="28"/>
          <w:szCs w:val="28"/>
        </w:rPr>
        <w:t xml:space="preserve">介绍说明牌（全景图、导览图、标识牌、介绍牌等）美观大方、有文化特色，宜有中外文对照；根据情况设立必要的安全提示牌和环保提示牌。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5.4.2.4 </w:t>
      </w:r>
      <w:r>
        <w:rPr>
          <w:rFonts w:ascii="Times New Roman" w:eastAsia="仿宋_GB2312"/>
          <w:sz w:val="28"/>
          <w:szCs w:val="28"/>
        </w:rPr>
        <w:t xml:space="preserve">旅游活动宜具有互动性、参与性，活动内容应丰富有趣、形式多样。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5.4.3 </w:t>
      </w:r>
      <w:r>
        <w:rPr>
          <w:rFonts w:ascii="Times New Roman" w:eastAsia="仿宋_GB2312"/>
          <w:b/>
          <w:bCs/>
          <w:sz w:val="28"/>
          <w:szCs w:val="28"/>
        </w:rPr>
        <w:t xml:space="preserve">接待能力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5.4.3.1 </w:t>
      </w:r>
      <w:r>
        <w:rPr>
          <w:rFonts w:ascii="Times New Roman" w:eastAsia="仿宋_GB2312"/>
          <w:sz w:val="28"/>
          <w:szCs w:val="28"/>
        </w:rPr>
        <w:t xml:space="preserve">单次接待能力应根据最大承载量进行合理设置，不影响游客的游览体验。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5.4.3.2 </w:t>
      </w:r>
      <w:r>
        <w:rPr>
          <w:rFonts w:ascii="Times New Roman" w:eastAsia="仿宋_GB2312"/>
          <w:sz w:val="28"/>
          <w:szCs w:val="28"/>
        </w:rPr>
        <w:t xml:space="preserve">开放时间应固定，能满足游客的旅游需求。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5.4.3.3 </w:t>
      </w:r>
      <w:r>
        <w:rPr>
          <w:rFonts w:ascii="Times New Roman" w:eastAsia="仿宋_GB2312"/>
          <w:sz w:val="28"/>
          <w:szCs w:val="28"/>
        </w:rPr>
        <w:t xml:space="preserve">应具备一定规模的年接待能力和单次接待能力。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5.4.3.4 </w:t>
      </w:r>
      <w:r>
        <w:rPr>
          <w:rFonts w:ascii="Times New Roman" w:eastAsia="仿宋_GB2312"/>
          <w:sz w:val="28"/>
          <w:szCs w:val="28"/>
        </w:rPr>
        <w:t xml:space="preserve">应有以预约参观为主的接待措施和应对高峰时期客流激增等突发状况的应急预案。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5.4.4 </w:t>
      </w:r>
      <w:r>
        <w:rPr>
          <w:rFonts w:ascii="Times New Roman" w:eastAsia="仿宋_GB2312"/>
          <w:b/>
          <w:bCs/>
          <w:sz w:val="28"/>
          <w:szCs w:val="28"/>
        </w:rPr>
        <w:t xml:space="preserve">购物设施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5.4.4.1 </w:t>
      </w:r>
      <w:r>
        <w:rPr>
          <w:rFonts w:ascii="Times New Roman" w:eastAsia="仿宋_GB2312"/>
          <w:sz w:val="28"/>
          <w:szCs w:val="28"/>
        </w:rPr>
        <w:t>应有场所固定、面积适宜的购物区域，购物场所布局合理，建筑造型、色彩、材质与环境较协调。</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5.4.4.2 </w:t>
      </w:r>
      <w:r>
        <w:rPr>
          <w:rFonts w:ascii="Times New Roman" w:eastAsia="仿宋_GB2312"/>
          <w:sz w:val="28"/>
          <w:szCs w:val="28"/>
        </w:rPr>
        <w:t>对购物场所和从业人员进行统一管理，整体环境整洁，秩序良好，明码标价，无假冒伪劣商品，无围追兜售、强买强卖现象。</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5.4.4.3 </w:t>
      </w:r>
      <w:r>
        <w:rPr>
          <w:rFonts w:ascii="Times New Roman" w:eastAsia="仿宋_GB2312"/>
          <w:sz w:val="28"/>
          <w:szCs w:val="28"/>
        </w:rPr>
        <w:t xml:space="preserve">旅游商品种类丰富，能结合自身特点积极开发特色旅游商品和文创产品。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5.4.4.4 </w:t>
      </w:r>
      <w:r>
        <w:rPr>
          <w:rFonts w:ascii="Times New Roman" w:eastAsia="仿宋_GB2312"/>
          <w:sz w:val="28"/>
          <w:szCs w:val="28"/>
        </w:rPr>
        <w:t xml:space="preserve">购物场所商品销售人员业务熟练、服务热情。 </w:t>
      </w:r>
    </w:p>
    <w:p>
      <w:pPr>
        <w:pStyle w:val="16"/>
        <w:widowControl w:val="0"/>
        <w:adjustRightInd w:val="0"/>
        <w:snapToGrid w:val="0"/>
        <w:spacing w:before="0" w:beforeLines="0" w:after="0" w:afterLines="0" w:line="579" w:lineRule="exact"/>
        <w:rPr>
          <w:rFonts w:ascii="Times New Roman"/>
        </w:rPr>
      </w:pPr>
      <w:r>
        <w:rPr>
          <w:rFonts w:ascii="Times New Roman" w:eastAsia="仿宋_GB2312"/>
          <w:sz w:val="30"/>
          <w:szCs w:val="30"/>
        </w:rPr>
        <w:t xml:space="preserve">5.4.4.5 </w:t>
      </w:r>
      <w:r>
        <w:rPr>
          <w:rFonts w:ascii="Times New Roman" w:eastAsia="仿宋_GB2312"/>
          <w:sz w:val="28"/>
          <w:szCs w:val="28"/>
        </w:rPr>
        <w:t xml:space="preserve">根据游客需要，可提供预订预购和商品邮寄等特色服务。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5.5 </w:t>
      </w:r>
      <w:r>
        <w:rPr>
          <w:rFonts w:ascii="Times New Roman" w:eastAsia="仿宋_GB2312"/>
          <w:b/>
          <w:bCs/>
          <w:sz w:val="28"/>
          <w:szCs w:val="28"/>
        </w:rPr>
        <w:t xml:space="preserve">卫生设施及环境质量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5.5.1 </w:t>
      </w:r>
      <w:r>
        <w:rPr>
          <w:rFonts w:ascii="Times New Roman" w:eastAsia="仿宋_GB2312"/>
          <w:b/>
          <w:bCs/>
          <w:sz w:val="28"/>
          <w:szCs w:val="28"/>
        </w:rPr>
        <w:t xml:space="preserve">卫生间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5.5.1.1 </w:t>
      </w:r>
      <w:r>
        <w:rPr>
          <w:rFonts w:ascii="Times New Roman" w:eastAsia="仿宋_GB2312"/>
          <w:sz w:val="28"/>
          <w:szCs w:val="28"/>
        </w:rPr>
        <w:t>卫生间应布局合理，标识醒目，男女厕位比例合理，数量能够满足需求。设施设备完好，建设要求应符合GB/T 18973-</w:t>
      </w:r>
      <w:r>
        <w:rPr>
          <w:rFonts w:hint="eastAsia" w:ascii="Times New Roman" w:eastAsia="仿宋_GB2312"/>
          <w:sz w:val="28"/>
          <w:szCs w:val="28"/>
          <w:lang w:val="en-US" w:eastAsia="zh-CN"/>
        </w:rPr>
        <w:t>2022</w:t>
      </w:r>
      <w:r>
        <w:rPr>
          <w:rFonts w:ascii="Times New Roman" w:eastAsia="仿宋_GB2312"/>
          <w:sz w:val="28"/>
          <w:szCs w:val="28"/>
        </w:rPr>
        <w:t xml:space="preserve"> A级的规定。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5.5.1.2 </w:t>
      </w:r>
      <w:r>
        <w:rPr>
          <w:rFonts w:ascii="Times New Roman" w:eastAsia="仿宋_GB2312"/>
          <w:sz w:val="28"/>
          <w:szCs w:val="28"/>
        </w:rPr>
        <w:t xml:space="preserve">有方便特殊人群使用的设施，设施应符合 GB 50763 的规定。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5.5.2 </w:t>
      </w:r>
      <w:r>
        <w:rPr>
          <w:rFonts w:ascii="Times New Roman" w:eastAsia="仿宋_GB2312"/>
          <w:b/>
          <w:bCs/>
          <w:sz w:val="28"/>
          <w:szCs w:val="28"/>
        </w:rPr>
        <w:t xml:space="preserve">卫生环境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5.5.2.1 </w:t>
      </w:r>
      <w:r>
        <w:rPr>
          <w:rFonts w:ascii="Times New Roman" w:eastAsia="仿宋_GB2312"/>
          <w:sz w:val="28"/>
          <w:szCs w:val="28"/>
        </w:rPr>
        <w:t xml:space="preserve">游览区域内环境卫生维护有效。建筑风貌与整体环境相协调。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5.5.2.2 </w:t>
      </w:r>
      <w:r>
        <w:rPr>
          <w:rFonts w:ascii="Times New Roman" w:eastAsia="仿宋_GB2312"/>
          <w:sz w:val="28"/>
          <w:szCs w:val="28"/>
        </w:rPr>
        <w:t>垃圾箱布置应与环境相协调。</w:t>
      </w:r>
      <w:r>
        <w:rPr>
          <w:rFonts w:hint="eastAsia" w:ascii="Times New Roman" w:eastAsia="仿宋_GB2312"/>
          <w:sz w:val="28"/>
          <w:szCs w:val="28"/>
          <w:lang w:val="en-US" w:eastAsia="zh-CN"/>
        </w:rPr>
        <w:t>宜</w:t>
      </w:r>
      <w:r>
        <w:rPr>
          <w:rFonts w:ascii="Times New Roman" w:eastAsia="仿宋_GB2312"/>
          <w:sz w:val="28"/>
          <w:szCs w:val="28"/>
        </w:rPr>
        <w:t xml:space="preserve">采用分类式垃圾箱，采用环保材料制造，造型有特点，数量充足。垃圾清理应及时，日产日清。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5.5.2.3 </w:t>
      </w:r>
      <w:r>
        <w:rPr>
          <w:rFonts w:ascii="Times New Roman" w:eastAsia="仿宋_GB2312"/>
          <w:sz w:val="28"/>
          <w:szCs w:val="28"/>
        </w:rPr>
        <w:t xml:space="preserve">文化娱乐设施卫生应符合 GB 9664 的规定。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5.5.2.4 </w:t>
      </w:r>
      <w:r>
        <w:rPr>
          <w:rFonts w:ascii="Times New Roman" w:eastAsia="仿宋_GB2312"/>
          <w:sz w:val="28"/>
          <w:szCs w:val="28"/>
        </w:rPr>
        <w:t xml:space="preserve">卫生责任制度和卫生检查制度应健全，应落实环保责任人，定期进行卫生检查。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5.5.2.5 </w:t>
      </w:r>
      <w:r>
        <w:rPr>
          <w:rFonts w:hint="eastAsia" w:ascii="Times New Roman" w:eastAsia="仿宋_GB2312"/>
          <w:sz w:val="28"/>
          <w:szCs w:val="28"/>
        </w:rPr>
        <w:t>可根据实际提供规模适度的食品销售和餐饮服务，设施外观和建筑风格与游览区内环境相协调，宜提供本土特色的产品。食品销售和餐饮服务经营者应持有效证照合法经营，食品安全应符合国家规定；餐饮服务配备相应消毒保洁设施，不使用对环境造成污染的一次性餐饮具。</w:t>
      </w:r>
      <w:r>
        <w:rPr>
          <w:rFonts w:ascii="Times New Roman" w:eastAsia="仿宋_GB2312"/>
          <w:sz w:val="28"/>
          <w:szCs w:val="28"/>
        </w:rPr>
        <w:t xml:space="preserve"> </w:t>
      </w:r>
    </w:p>
    <w:p>
      <w:pPr>
        <w:pStyle w:val="18"/>
        <w:widowControl w:val="0"/>
        <w:adjustRightInd w:val="0"/>
        <w:snapToGrid w:val="0"/>
        <w:spacing w:beforeLines="0" w:afterLines="0" w:line="579" w:lineRule="exact"/>
        <w:ind w:firstLine="0" w:firstLineChars="0"/>
        <w:rPr>
          <w:rFonts w:ascii="Times New Roman" w:eastAsia="仿宋_GB2312"/>
          <w:b/>
          <w:bCs/>
          <w:sz w:val="28"/>
          <w:szCs w:val="28"/>
        </w:rPr>
      </w:pPr>
      <w:r>
        <w:rPr>
          <w:rFonts w:ascii="Times New Roman" w:eastAsia="仿宋_GB2312"/>
          <w:sz w:val="30"/>
          <w:szCs w:val="30"/>
        </w:rPr>
        <w:t xml:space="preserve">5.5.2.6 </w:t>
      </w:r>
      <w:r>
        <w:rPr>
          <w:rFonts w:ascii="Times New Roman" w:eastAsia="仿宋_GB2312"/>
          <w:sz w:val="28"/>
          <w:szCs w:val="28"/>
        </w:rPr>
        <w:t>应提倡文明用餐，餐饮场所有制止餐饮浪费行为的宣传提示和措施，有效引导、提醒和督促游客节约饮食和绿色消费。</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5.6 </w:t>
      </w:r>
      <w:r>
        <w:rPr>
          <w:rFonts w:ascii="Times New Roman" w:eastAsia="仿宋_GB2312"/>
          <w:b/>
          <w:bCs/>
          <w:sz w:val="28"/>
          <w:szCs w:val="28"/>
        </w:rPr>
        <w:t xml:space="preserve">游览服务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5.6.1 </w:t>
      </w:r>
      <w:r>
        <w:rPr>
          <w:rFonts w:ascii="Times New Roman" w:eastAsia="仿宋_GB2312"/>
          <w:b/>
          <w:bCs/>
          <w:sz w:val="28"/>
          <w:szCs w:val="28"/>
        </w:rPr>
        <w:t xml:space="preserve">人性化服务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5.6.1.1 </w:t>
      </w:r>
      <w:r>
        <w:rPr>
          <w:rFonts w:ascii="Times New Roman" w:eastAsia="仿宋_GB2312"/>
          <w:sz w:val="28"/>
          <w:szCs w:val="28"/>
        </w:rPr>
        <w:t>应为特定人群（残疾人、老年人、未成年人等）提供便利和优惠，配备无障碍通道、</w:t>
      </w:r>
      <w:r>
        <w:rPr>
          <w:rFonts w:hint="eastAsia" w:ascii="Times New Roman" w:eastAsia="仿宋_GB2312"/>
          <w:sz w:val="28"/>
          <w:szCs w:val="28"/>
        </w:rPr>
        <w:t>无障碍停车位、</w:t>
      </w:r>
      <w:r>
        <w:rPr>
          <w:rFonts w:ascii="Times New Roman" w:eastAsia="仿宋_GB2312"/>
          <w:sz w:val="28"/>
          <w:szCs w:val="28"/>
        </w:rPr>
        <w:t>无</w:t>
      </w:r>
      <w:r>
        <w:rPr>
          <w:rFonts w:hint="eastAsia" w:ascii="Times New Roman" w:eastAsia="仿宋_GB2312"/>
          <w:sz w:val="28"/>
          <w:szCs w:val="28"/>
        </w:rPr>
        <w:t>障碍</w:t>
      </w:r>
      <w:r>
        <w:rPr>
          <w:rFonts w:ascii="Times New Roman" w:eastAsia="仿宋_GB2312"/>
          <w:sz w:val="28"/>
          <w:szCs w:val="28"/>
        </w:rPr>
        <w:t>厕位、</w:t>
      </w:r>
      <w:r>
        <w:rPr>
          <w:rFonts w:hint="eastAsia" w:ascii="Times New Roman" w:eastAsia="仿宋_GB2312"/>
          <w:sz w:val="28"/>
          <w:szCs w:val="28"/>
        </w:rPr>
        <w:t>母婴室、</w:t>
      </w:r>
      <w:r>
        <w:rPr>
          <w:rFonts w:ascii="Times New Roman" w:eastAsia="仿宋_GB2312"/>
          <w:sz w:val="28"/>
          <w:szCs w:val="28"/>
        </w:rPr>
        <w:t>轮椅、拐杖、童车等设施与工具，并提供</w:t>
      </w:r>
      <w:r>
        <w:rPr>
          <w:rFonts w:hint="eastAsia" w:ascii="Times New Roman" w:eastAsia="仿宋_GB2312"/>
          <w:sz w:val="28"/>
          <w:szCs w:val="28"/>
        </w:rPr>
        <w:t>人性化</w:t>
      </w:r>
      <w:r>
        <w:rPr>
          <w:rFonts w:ascii="Times New Roman" w:eastAsia="仿宋_GB2312"/>
          <w:sz w:val="28"/>
          <w:szCs w:val="28"/>
        </w:rPr>
        <w:t xml:space="preserve">服务。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5.6.1.2 </w:t>
      </w:r>
      <w:r>
        <w:rPr>
          <w:rFonts w:ascii="Times New Roman" w:eastAsia="仿宋_GB2312"/>
          <w:sz w:val="28"/>
          <w:szCs w:val="28"/>
        </w:rPr>
        <w:t xml:space="preserve">宜为游客提供个性化、定制化的特色服务。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5.6.2 </w:t>
      </w:r>
      <w:r>
        <w:rPr>
          <w:rFonts w:ascii="Times New Roman" w:eastAsia="仿宋_GB2312"/>
          <w:b/>
          <w:bCs/>
          <w:sz w:val="28"/>
          <w:szCs w:val="28"/>
        </w:rPr>
        <w:t xml:space="preserve">讲解服务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5.6.2.1 </w:t>
      </w:r>
      <w:r>
        <w:rPr>
          <w:rFonts w:ascii="Times New Roman" w:eastAsia="仿宋_GB2312"/>
          <w:sz w:val="28"/>
          <w:szCs w:val="28"/>
        </w:rPr>
        <w:t>讲解员应经过专门培训，普通话达标，人数及语种应能满足游客需要。讲解语言规范，讲解服务态度热情，行为有度。</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5.6.2.2 </w:t>
      </w:r>
      <w:r>
        <w:rPr>
          <w:rFonts w:ascii="Times New Roman" w:eastAsia="仿宋_GB2312"/>
          <w:sz w:val="28"/>
          <w:szCs w:val="28"/>
        </w:rPr>
        <w:t>应有规范的讲解词，讲解内容科学、准确、生动，能准确说明本工业旅游点（区）的特色，无庸俗、低俗、媚俗内容，无胁迫游客和故意诱导消费行为，能够满足不同层次游客的需求。</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5.6.2.3 </w:t>
      </w:r>
      <w:r>
        <w:rPr>
          <w:rFonts w:ascii="Times New Roman" w:eastAsia="仿宋_GB2312"/>
          <w:sz w:val="28"/>
          <w:szCs w:val="28"/>
        </w:rPr>
        <w:t>采用标牌解说、印刷品解说、导游解说、语音智能化讲解等多种解说方式；解说语言宜有中外文对照；解说服务和宣传教育功能完善，解说效果良好。</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5.7 </w:t>
      </w:r>
      <w:r>
        <w:rPr>
          <w:rFonts w:ascii="Times New Roman" w:eastAsia="仿宋_GB2312"/>
          <w:b/>
          <w:bCs/>
          <w:sz w:val="28"/>
          <w:szCs w:val="28"/>
        </w:rPr>
        <w:t xml:space="preserve">旅游安全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bCs/>
          <w:sz w:val="30"/>
          <w:szCs w:val="30"/>
        </w:rPr>
        <w:t xml:space="preserve">5.7.1 </w:t>
      </w:r>
      <w:r>
        <w:rPr>
          <w:rFonts w:ascii="Times New Roman" w:eastAsia="仿宋_GB2312"/>
          <w:b/>
          <w:bCs/>
          <w:sz w:val="28"/>
          <w:szCs w:val="28"/>
        </w:rPr>
        <w:t xml:space="preserve">安全设施及管理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5.7.1.1 </w:t>
      </w:r>
      <w:r>
        <w:rPr>
          <w:rFonts w:ascii="Times New Roman" w:eastAsia="仿宋_GB2312"/>
          <w:sz w:val="28"/>
          <w:szCs w:val="28"/>
        </w:rPr>
        <w:t xml:space="preserve">应有健全的安全管理制度和操作规程。应有专门的管理机构和职责明确的专职人员、安全责任人。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5.7.1.2 </w:t>
      </w:r>
      <w:r>
        <w:rPr>
          <w:rFonts w:ascii="Times New Roman" w:eastAsia="仿宋_GB2312"/>
          <w:sz w:val="28"/>
          <w:szCs w:val="28"/>
        </w:rPr>
        <w:t>应有数量足够的消防、防盗、救护、安全监测等设施设备，确保完好、有效；</w:t>
      </w:r>
      <w:r>
        <w:rPr>
          <w:rFonts w:hint="eastAsia" w:ascii="Times New Roman" w:eastAsia="仿宋_GB2312"/>
          <w:sz w:val="28"/>
          <w:szCs w:val="28"/>
        </w:rPr>
        <w:t>特</w:t>
      </w:r>
      <w:r>
        <w:rPr>
          <w:rFonts w:ascii="Times New Roman" w:eastAsia="仿宋_GB2312"/>
          <w:sz w:val="28"/>
          <w:szCs w:val="28"/>
        </w:rPr>
        <w:t>种设备应</w:t>
      </w:r>
      <w:r>
        <w:rPr>
          <w:rFonts w:hint="eastAsia" w:ascii="Times New Roman" w:eastAsia="仿宋_GB2312"/>
          <w:sz w:val="28"/>
          <w:szCs w:val="28"/>
        </w:rPr>
        <w:t>办理使用登记，在检验合格有效期之内，建立健全各项安全管理制度，依法开展日常安全检查和维护保养，作业人员持证上岗。</w:t>
      </w:r>
      <w:r>
        <w:rPr>
          <w:rFonts w:ascii="Times New Roman" w:eastAsia="仿宋_GB2312"/>
          <w:sz w:val="28"/>
          <w:szCs w:val="28"/>
        </w:rPr>
        <w:t xml:space="preserve">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5.7.1.3 </w:t>
      </w:r>
      <w:r>
        <w:rPr>
          <w:rFonts w:ascii="Times New Roman" w:eastAsia="仿宋_GB2312"/>
          <w:sz w:val="28"/>
          <w:szCs w:val="28"/>
        </w:rPr>
        <w:t xml:space="preserve">应急缓冲区和疏散区应设置合理，方便游客疏散。紧急出口应标志明显、畅通无阻。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5.7.1.4 </w:t>
      </w:r>
      <w:r>
        <w:rPr>
          <w:rFonts w:ascii="Times New Roman" w:eastAsia="仿宋_GB2312"/>
          <w:sz w:val="28"/>
          <w:szCs w:val="28"/>
        </w:rPr>
        <w:t xml:space="preserve">安全标识设置应清晰、醒目，数量充足。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5.7.1.5 </w:t>
      </w:r>
      <w:r>
        <w:rPr>
          <w:rFonts w:ascii="Times New Roman" w:eastAsia="仿宋_GB2312"/>
          <w:sz w:val="28"/>
          <w:szCs w:val="28"/>
        </w:rPr>
        <w:t xml:space="preserve">宜配置医疗救护点，并配备常用药品。应根据游览环境状况为游客提供必备的防撞、防滑、防绊、防坠落、防炫目、防噪音等防护装备和器具。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sz w:val="30"/>
          <w:szCs w:val="30"/>
        </w:rPr>
        <w:t xml:space="preserve">5.7.2 </w:t>
      </w:r>
      <w:r>
        <w:rPr>
          <w:rFonts w:ascii="Times New Roman" w:eastAsia="仿宋_GB2312"/>
          <w:b/>
          <w:bCs/>
          <w:sz w:val="28"/>
          <w:szCs w:val="28"/>
        </w:rPr>
        <w:t xml:space="preserve">游览区安全管理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5.7.2.1 </w:t>
      </w:r>
      <w:r>
        <w:rPr>
          <w:rFonts w:ascii="Times New Roman" w:eastAsia="仿宋_GB2312"/>
          <w:sz w:val="28"/>
          <w:szCs w:val="28"/>
        </w:rPr>
        <w:t xml:space="preserve">参观游览前应对游客进行安全教育，为游客配备相应的安全设备及防护设施，生产区域内的游览应有专人引领和指导。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5.7.2.2 </w:t>
      </w:r>
      <w:r>
        <w:rPr>
          <w:rFonts w:ascii="Times New Roman" w:eastAsia="仿宋_GB2312"/>
          <w:sz w:val="28"/>
          <w:szCs w:val="28"/>
        </w:rPr>
        <w:t xml:space="preserve">参观游览活动不应涉及危险区域，危险或禁入区域应设立明显的警示标志，有物理隔离措施。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5.7.2.3 </w:t>
      </w:r>
      <w:r>
        <w:rPr>
          <w:rFonts w:ascii="Times New Roman" w:eastAsia="仿宋_GB2312"/>
          <w:sz w:val="28"/>
          <w:szCs w:val="28"/>
        </w:rPr>
        <w:t xml:space="preserve">具有潜在危险性的活动项目应有切实有效的防范及安全措施，应配有专职安全员。 </w:t>
      </w:r>
    </w:p>
    <w:p>
      <w:pPr>
        <w:pStyle w:val="16"/>
        <w:widowControl w:val="0"/>
        <w:adjustRightInd w:val="0"/>
        <w:snapToGrid w:val="0"/>
        <w:spacing w:before="0" w:beforeLines="0" w:after="0" w:afterLines="0" w:line="579" w:lineRule="exact"/>
        <w:rPr>
          <w:rFonts w:hint="eastAsia" w:ascii="Times New Roman" w:eastAsia="仿宋_GB2312"/>
          <w:b/>
          <w:bCs/>
          <w:sz w:val="28"/>
          <w:szCs w:val="28"/>
          <w:lang w:eastAsia="zh-CN"/>
        </w:rPr>
      </w:pPr>
      <w:r>
        <w:rPr>
          <w:rFonts w:ascii="Times New Roman" w:eastAsia="仿宋_GB2312"/>
          <w:sz w:val="30"/>
          <w:szCs w:val="30"/>
        </w:rPr>
        <w:t xml:space="preserve">5.7.3 </w:t>
      </w:r>
      <w:r>
        <w:rPr>
          <w:rFonts w:ascii="Times New Roman" w:eastAsia="仿宋_GB2312"/>
          <w:b/>
          <w:bCs/>
          <w:sz w:val="28"/>
          <w:szCs w:val="28"/>
        </w:rPr>
        <w:t xml:space="preserve">应急救援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5.7.3.1 </w:t>
      </w:r>
      <w:r>
        <w:rPr>
          <w:rFonts w:ascii="Times New Roman" w:eastAsia="仿宋_GB2312"/>
          <w:sz w:val="28"/>
          <w:szCs w:val="28"/>
        </w:rPr>
        <w:t>应有切实可行的旅游安全应急预案，应急处理能力强，事故处理及时、档案记录准确；应有经过专业培训的急救人员。</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5.7.3.2 </w:t>
      </w:r>
      <w:r>
        <w:rPr>
          <w:rFonts w:ascii="Times New Roman" w:eastAsia="仿宋_GB2312"/>
          <w:sz w:val="28"/>
          <w:szCs w:val="28"/>
        </w:rPr>
        <w:t xml:space="preserve">应有应急救援机制，应向游客公布应急救援电话且保证畅通有效。宜与相关单位达成游客伤员运送协议。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5.7.3.3 </w:t>
      </w:r>
      <w:r>
        <w:rPr>
          <w:rFonts w:ascii="Times New Roman" w:eastAsia="仿宋_GB2312"/>
          <w:sz w:val="28"/>
          <w:szCs w:val="28"/>
        </w:rPr>
        <w:t xml:space="preserve">管理人员应配备应急通讯设备，并保持通讯畅通。发现异常情况或突发事件时，应通过电子显示屏、短信、广播等途径，及时向游客发布提示和引导信息。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5.7.3.4 </w:t>
      </w:r>
      <w:r>
        <w:rPr>
          <w:rFonts w:ascii="Times New Roman" w:eastAsia="仿宋_GB2312"/>
          <w:sz w:val="28"/>
          <w:szCs w:val="28"/>
        </w:rPr>
        <w:t>应在游览</w:t>
      </w:r>
      <w:r>
        <w:rPr>
          <w:rFonts w:hint="eastAsia" w:ascii="Times New Roman" w:eastAsia="仿宋_GB2312"/>
          <w:sz w:val="28"/>
          <w:szCs w:val="28"/>
        </w:rPr>
        <w:t>区</w:t>
      </w:r>
      <w:r>
        <w:rPr>
          <w:rFonts w:ascii="Times New Roman" w:eastAsia="仿宋_GB2312"/>
          <w:sz w:val="28"/>
          <w:szCs w:val="28"/>
        </w:rPr>
        <w:t>内重要部位进行电子监控和录像，录像资料应保存一个月以上。</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sz w:val="30"/>
          <w:szCs w:val="30"/>
        </w:rPr>
        <w:t xml:space="preserve">5.8 </w:t>
      </w:r>
      <w:r>
        <w:rPr>
          <w:rFonts w:ascii="Times New Roman" w:eastAsia="仿宋_GB2312"/>
          <w:b/>
          <w:bCs/>
          <w:sz w:val="28"/>
          <w:szCs w:val="28"/>
        </w:rPr>
        <w:t xml:space="preserve">旅游智慧化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5.8.1 </w:t>
      </w:r>
      <w:r>
        <w:rPr>
          <w:rFonts w:ascii="Times New Roman" w:eastAsia="仿宋_GB2312"/>
          <w:sz w:val="28"/>
          <w:szCs w:val="28"/>
        </w:rPr>
        <w:t xml:space="preserve">有独立网站或新媒体平台，能供参观预约及查询服务，定期维护，内容更新及时。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5.8.2 </w:t>
      </w:r>
      <w:r>
        <w:rPr>
          <w:rFonts w:ascii="Times New Roman" w:eastAsia="仿宋_GB2312"/>
          <w:sz w:val="28"/>
          <w:szCs w:val="28"/>
        </w:rPr>
        <w:t xml:space="preserve">手机信号应覆盖游客可游览区域，免费无线局域网覆盖游客中心及主要游客聚集区。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5.8.3 </w:t>
      </w:r>
      <w:r>
        <w:rPr>
          <w:rFonts w:ascii="Times New Roman" w:eastAsia="仿宋_GB2312"/>
          <w:sz w:val="28"/>
          <w:szCs w:val="28"/>
        </w:rPr>
        <w:t xml:space="preserve">游客游览的主要区域和重要节点应安装视频监控设备，能有效支持客流数据采集和安全监测。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5.8.4 </w:t>
      </w:r>
      <w:r>
        <w:rPr>
          <w:rFonts w:ascii="Times New Roman" w:eastAsia="仿宋_GB2312"/>
          <w:sz w:val="28"/>
          <w:szCs w:val="28"/>
        </w:rPr>
        <w:t xml:space="preserve">开展网络营销或自媒体营销，提供在线旅游预订、在线交易、网上支付及移动端支付服务。 </w:t>
      </w:r>
    </w:p>
    <w:p>
      <w:pPr>
        <w:pStyle w:val="16"/>
        <w:widowControl w:val="0"/>
        <w:adjustRightInd w:val="0"/>
        <w:snapToGrid w:val="0"/>
        <w:spacing w:before="0" w:beforeLines="0" w:after="0" w:afterLines="0" w:line="579" w:lineRule="exact"/>
        <w:rPr>
          <w:rFonts w:ascii="Times New Roman" w:eastAsia="仿宋_GB2312"/>
          <w:sz w:val="28"/>
          <w:szCs w:val="28"/>
        </w:rPr>
      </w:pPr>
      <w:r>
        <w:rPr>
          <w:rFonts w:ascii="Times New Roman" w:eastAsia="仿宋_GB2312"/>
          <w:sz w:val="30"/>
          <w:szCs w:val="30"/>
        </w:rPr>
        <w:t xml:space="preserve">5.8.5 </w:t>
      </w:r>
      <w:r>
        <w:rPr>
          <w:rFonts w:ascii="Times New Roman" w:eastAsia="仿宋_GB2312"/>
          <w:sz w:val="28"/>
          <w:szCs w:val="28"/>
        </w:rPr>
        <w:t xml:space="preserve">使用虚拟现实（VR）、增强现实（AR）等电子技术手段，丰富游客体验。 </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sz w:val="30"/>
          <w:szCs w:val="30"/>
        </w:rPr>
        <w:t xml:space="preserve">5.9 </w:t>
      </w:r>
      <w:r>
        <w:rPr>
          <w:rFonts w:ascii="Times New Roman" w:eastAsia="仿宋_GB2312"/>
          <w:b/>
          <w:bCs/>
          <w:sz w:val="28"/>
          <w:szCs w:val="28"/>
        </w:rPr>
        <w:t>文化特色</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5.9.1</w:t>
      </w:r>
      <w:r>
        <w:rPr>
          <w:rFonts w:ascii="Times New Roman" w:eastAsia="仿宋_GB2312"/>
          <w:sz w:val="28"/>
          <w:szCs w:val="28"/>
        </w:rPr>
        <w:t>有一定的工业文化内涵和文化主题，并体现在游览项目和游览活动过程中。</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5.9.2 </w:t>
      </w:r>
      <w:r>
        <w:rPr>
          <w:rFonts w:ascii="Times New Roman" w:eastAsia="仿宋_GB2312"/>
          <w:sz w:val="28"/>
          <w:szCs w:val="28"/>
        </w:rPr>
        <w:t>工业文化在本市有一定特色，或具有一定的文化创意水准。</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5.9.3 </w:t>
      </w:r>
      <w:r>
        <w:rPr>
          <w:rFonts w:ascii="Times New Roman" w:eastAsia="仿宋_GB2312"/>
          <w:sz w:val="28"/>
          <w:szCs w:val="28"/>
        </w:rPr>
        <w:t>工业文化内涵得到初步挖掘和展示，能通过景观、实物、图片、活动等多种方式展示文化，主要建筑和游览设施有一定的文化个性。</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5.9.4 </w:t>
      </w:r>
      <w:r>
        <w:rPr>
          <w:rFonts w:ascii="Times New Roman" w:eastAsia="仿宋_GB2312"/>
          <w:sz w:val="28"/>
          <w:szCs w:val="28"/>
        </w:rPr>
        <w:t>工业旅游产品或工业文化旅游活动能基本满足游客需要，体验效果良好。</w:t>
      </w:r>
    </w:p>
    <w:p>
      <w:pPr>
        <w:pStyle w:val="24"/>
        <w:widowControl w:val="0"/>
        <w:numPr>
          <w:ilvl w:val="0"/>
          <w:numId w:val="0"/>
        </w:numPr>
        <w:adjustRightInd w:val="0"/>
        <w:snapToGrid w:val="0"/>
        <w:spacing w:beforeLines="0" w:afterLines="0" w:line="579" w:lineRule="exact"/>
        <w:rPr>
          <w:rFonts w:ascii="Times New Roman" w:eastAsia="仿宋_GB2312"/>
          <w:b/>
          <w:bCs/>
          <w:sz w:val="28"/>
          <w:szCs w:val="28"/>
        </w:rPr>
      </w:pPr>
      <w:r>
        <w:rPr>
          <w:rFonts w:ascii="Times New Roman" w:eastAsia="仿宋_GB2312"/>
          <w:sz w:val="30"/>
          <w:szCs w:val="30"/>
        </w:rPr>
        <w:t>5.9.5</w:t>
      </w:r>
      <w:r>
        <w:rPr>
          <w:rFonts w:ascii="Times New Roman" w:eastAsia="仿宋_GB2312"/>
          <w:sz w:val="28"/>
          <w:szCs w:val="28"/>
        </w:rPr>
        <w:t>在弘扬中华优秀工业文化，开展爱国主义教育和践行社会主义核心价值观方面，或在履行社会责任，组织或参加公益性活动等方面发挥一定的作用。</w:t>
      </w:r>
    </w:p>
    <w:p>
      <w:pPr>
        <w:pStyle w:val="16"/>
        <w:widowControl w:val="0"/>
        <w:adjustRightInd w:val="0"/>
        <w:snapToGrid w:val="0"/>
        <w:spacing w:before="0" w:beforeLines="0" w:after="0" w:afterLines="0" w:line="579" w:lineRule="exact"/>
        <w:rPr>
          <w:rFonts w:ascii="Times New Roman" w:eastAsia="仿宋_GB2312"/>
          <w:b/>
          <w:bCs/>
          <w:sz w:val="28"/>
          <w:szCs w:val="28"/>
        </w:rPr>
      </w:pPr>
      <w:r>
        <w:rPr>
          <w:rFonts w:ascii="Times New Roman" w:eastAsia="仿宋_GB2312"/>
          <w:b/>
          <w:sz w:val="30"/>
          <w:szCs w:val="30"/>
        </w:rPr>
        <w:t xml:space="preserve">5.10 </w:t>
      </w:r>
      <w:r>
        <w:rPr>
          <w:rFonts w:ascii="Times New Roman" w:eastAsia="仿宋_GB2312"/>
          <w:b/>
          <w:bCs/>
          <w:sz w:val="28"/>
          <w:szCs w:val="28"/>
        </w:rPr>
        <w:t>综合管理</w:t>
      </w:r>
    </w:p>
    <w:p>
      <w:pPr>
        <w:pStyle w:val="19"/>
        <w:widowControl w:val="0"/>
        <w:adjustRightInd w:val="0"/>
        <w:snapToGrid w:val="0"/>
        <w:spacing w:before="0" w:after="0" w:line="579" w:lineRule="exact"/>
        <w:rPr>
          <w:rFonts w:ascii="Times New Roman" w:eastAsia="仿宋_GB2312"/>
          <w:sz w:val="28"/>
          <w:szCs w:val="28"/>
        </w:rPr>
      </w:pPr>
      <w:r>
        <w:rPr>
          <w:rFonts w:ascii="Times New Roman" w:eastAsia="仿宋_GB2312"/>
          <w:sz w:val="30"/>
          <w:szCs w:val="30"/>
        </w:rPr>
        <w:t xml:space="preserve">5.10.1 </w:t>
      </w:r>
      <w:r>
        <w:rPr>
          <w:rFonts w:ascii="Times New Roman" w:eastAsia="仿宋_GB2312"/>
          <w:sz w:val="28"/>
          <w:szCs w:val="28"/>
        </w:rPr>
        <w:t>工业旅游点（区）内项目开发建设应符合相关规划要求。</w:t>
      </w:r>
    </w:p>
    <w:p>
      <w:pPr>
        <w:pStyle w:val="19"/>
        <w:widowControl w:val="0"/>
        <w:adjustRightInd w:val="0"/>
        <w:snapToGrid w:val="0"/>
        <w:spacing w:before="0" w:after="0" w:line="579" w:lineRule="exact"/>
        <w:rPr>
          <w:rFonts w:ascii="Times New Roman" w:eastAsia="仿宋_GB2312"/>
          <w:sz w:val="28"/>
          <w:szCs w:val="28"/>
        </w:rPr>
      </w:pPr>
      <w:r>
        <w:rPr>
          <w:rFonts w:ascii="Times New Roman" w:eastAsia="仿宋_GB2312"/>
          <w:sz w:val="30"/>
          <w:szCs w:val="30"/>
        </w:rPr>
        <w:t>5.10.2</w:t>
      </w:r>
      <w:r>
        <w:rPr>
          <w:rFonts w:ascii="Times New Roman" w:eastAsia="仿宋_GB2312"/>
          <w:sz w:val="28"/>
          <w:szCs w:val="28"/>
        </w:rPr>
        <w:t>管理体制健全，管理人员配备合理，70%以上中高级以上管理人员均具备大学以上文化程度，经营管理机制有效。培训制度明确，业务培训较全面，效果良好，上岗人员培训合格率达100%。</w:t>
      </w:r>
    </w:p>
    <w:p>
      <w:pPr>
        <w:pStyle w:val="19"/>
        <w:widowControl w:val="0"/>
        <w:adjustRightInd w:val="0"/>
        <w:snapToGrid w:val="0"/>
        <w:spacing w:before="0" w:after="0" w:line="579" w:lineRule="exact"/>
        <w:rPr>
          <w:rFonts w:ascii="Times New Roman" w:eastAsia="仿宋_GB2312"/>
          <w:sz w:val="28"/>
          <w:szCs w:val="28"/>
        </w:rPr>
      </w:pPr>
      <w:r>
        <w:rPr>
          <w:rFonts w:ascii="Times New Roman" w:eastAsia="仿宋_GB2312"/>
          <w:sz w:val="30"/>
          <w:szCs w:val="30"/>
        </w:rPr>
        <w:t xml:space="preserve">5.10.3 </w:t>
      </w:r>
      <w:r>
        <w:rPr>
          <w:rFonts w:ascii="Times New Roman" w:eastAsia="仿宋_GB2312"/>
          <w:sz w:val="28"/>
          <w:szCs w:val="28"/>
        </w:rPr>
        <w:t>旅游质量、旅游安全、资源与环境保护、旅游统计等各项经营管理制度健全有效，贯彻措施得力，定期监督检查，有完整的书面记录和总结。</w:t>
      </w:r>
    </w:p>
    <w:p>
      <w:pPr>
        <w:pStyle w:val="19"/>
        <w:widowControl w:val="0"/>
        <w:adjustRightInd w:val="0"/>
        <w:snapToGrid w:val="0"/>
        <w:spacing w:before="0" w:after="0" w:line="579" w:lineRule="exact"/>
        <w:rPr>
          <w:rFonts w:ascii="Times New Roman" w:eastAsia="仿宋_GB2312"/>
          <w:sz w:val="28"/>
          <w:szCs w:val="28"/>
        </w:rPr>
      </w:pPr>
      <w:r>
        <w:rPr>
          <w:rFonts w:ascii="Times New Roman" w:eastAsia="仿宋_GB2312"/>
          <w:sz w:val="30"/>
          <w:szCs w:val="30"/>
        </w:rPr>
        <w:t xml:space="preserve">5.10.4 </w:t>
      </w:r>
      <w:r>
        <w:rPr>
          <w:rFonts w:ascii="Times New Roman" w:eastAsia="仿宋_GB2312"/>
          <w:sz w:val="28"/>
          <w:szCs w:val="28"/>
        </w:rPr>
        <w:t>应履行旅游统计调查制度，按要求报送各项相关统计数据和信息，确保数据的真实性和准确性。</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 xml:space="preserve">5.10.5 </w:t>
      </w:r>
      <w:r>
        <w:rPr>
          <w:rFonts w:ascii="Times New Roman" w:eastAsia="仿宋_GB2312"/>
          <w:sz w:val="28"/>
          <w:szCs w:val="28"/>
        </w:rPr>
        <w:t>有旅游质量监管制度和措施，投诉制度健全，人员与设备落实，投诉受理及时，处理较为妥善，档案记录完整。</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sz w:val="30"/>
          <w:szCs w:val="30"/>
        </w:rPr>
        <w:t>5.10.6</w:t>
      </w:r>
      <w:r>
        <w:rPr>
          <w:rFonts w:hint="eastAsia" w:ascii="Times New Roman" w:eastAsia="仿宋_GB2312"/>
          <w:sz w:val="30"/>
          <w:szCs w:val="30"/>
        </w:rPr>
        <w:t xml:space="preserve"> </w:t>
      </w:r>
      <w:r>
        <w:rPr>
          <w:rFonts w:ascii="Times New Roman" w:eastAsia="仿宋_GB2312"/>
          <w:sz w:val="28"/>
          <w:szCs w:val="28"/>
        </w:rPr>
        <w:t>具有明确的价值观念和经营方针，产品形象、质量形象、视觉形象和员工形象良好。</w:t>
      </w:r>
    </w:p>
    <w:p>
      <w:pPr>
        <w:widowControl w:val="0"/>
        <w:adjustRightInd w:val="0"/>
        <w:snapToGrid w:val="0"/>
        <w:spacing w:beforeLines="0" w:afterLines="0" w:line="579" w:lineRule="exact"/>
        <w:jc w:val="left"/>
        <w:rPr>
          <w:rFonts w:eastAsia="黑体"/>
          <w:color w:val="000000"/>
          <w:kern w:val="0"/>
          <w:sz w:val="30"/>
          <w:szCs w:val="30"/>
        </w:rPr>
      </w:pPr>
    </w:p>
    <w:p>
      <w:pPr>
        <w:widowControl w:val="0"/>
        <w:adjustRightInd w:val="0"/>
        <w:snapToGrid w:val="0"/>
        <w:spacing w:beforeLines="0" w:afterLines="0" w:line="579" w:lineRule="exact"/>
        <w:jc w:val="left"/>
        <w:rPr>
          <w:sz w:val="28"/>
          <w:szCs w:val="28"/>
        </w:rPr>
      </w:pPr>
      <w:r>
        <w:rPr>
          <w:rFonts w:eastAsia="黑体"/>
          <w:color w:val="000000"/>
          <w:kern w:val="0"/>
          <w:sz w:val="30"/>
          <w:szCs w:val="30"/>
        </w:rPr>
        <w:t xml:space="preserve">6 </w:t>
      </w:r>
      <w:r>
        <w:rPr>
          <w:rFonts w:eastAsia="黑体"/>
          <w:color w:val="000000"/>
          <w:kern w:val="0"/>
          <w:sz w:val="28"/>
          <w:szCs w:val="28"/>
        </w:rPr>
        <w:t xml:space="preserve">评分规则 </w:t>
      </w:r>
    </w:p>
    <w:p>
      <w:pPr>
        <w:widowControl w:val="0"/>
        <w:adjustRightInd w:val="0"/>
        <w:snapToGrid w:val="0"/>
        <w:spacing w:beforeLines="0" w:afterLines="0" w:line="579" w:lineRule="exact"/>
        <w:jc w:val="left"/>
        <w:rPr>
          <w:rFonts w:eastAsia="仿宋_GB2312"/>
          <w:sz w:val="28"/>
          <w:szCs w:val="28"/>
        </w:rPr>
      </w:pPr>
      <w:r>
        <w:rPr>
          <w:rFonts w:eastAsia="仿宋_GB2312"/>
          <w:color w:val="000000"/>
          <w:kern w:val="0"/>
          <w:sz w:val="30"/>
          <w:szCs w:val="30"/>
        </w:rPr>
        <w:t xml:space="preserve">6.1 </w:t>
      </w:r>
      <w:r>
        <w:rPr>
          <w:rFonts w:eastAsia="仿宋_GB2312"/>
          <w:color w:val="000000"/>
          <w:kern w:val="0"/>
          <w:sz w:val="28"/>
          <w:szCs w:val="28"/>
        </w:rPr>
        <w:t xml:space="preserve">评分依据包括必备条件、基本条件、附加项目三大部分。评分依据A.1（7.1）、A.2（7.2）两个评分表的内容进行，总分值为 1200分，其中检查项目分值1000 分，附加项目分值200分，评分时，对照检查项目逐一打分。 </w:t>
      </w:r>
    </w:p>
    <w:p>
      <w:pPr>
        <w:widowControl w:val="0"/>
        <w:adjustRightInd w:val="0"/>
        <w:snapToGrid w:val="0"/>
        <w:spacing w:beforeLines="0" w:afterLines="0" w:line="579" w:lineRule="exact"/>
        <w:jc w:val="left"/>
        <w:rPr>
          <w:rFonts w:eastAsia="仿宋_GB2312"/>
          <w:sz w:val="28"/>
          <w:szCs w:val="28"/>
        </w:rPr>
      </w:pPr>
      <w:r>
        <w:rPr>
          <w:rFonts w:eastAsia="仿宋_GB2312"/>
          <w:color w:val="000000"/>
          <w:kern w:val="0"/>
          <w:sz w:val="30"/>
          <w:szCs w:val="30"/>
        </w:rPr>
        <w:t xml:space="preserve">6.2 </w:t>
      </w:r>
      <w:r>
        <w:rPr>
          <w:rFonts w:eastAsia="仿宋_GB2312"/>
          <w:color w:val="000000"/>
          <w:kern w:val="0"/>
          <w:sz w:val="28"/>
          <w:szCs w:val="28"/>
        </w:rPr>
        <w:t>必备条件是强制性条件，必须全部达标才具备申报认定的资格。</w:t>
      </w:r>
    </w:p>
    <w:p>
      <w:pPr>
        <w:pStyle w:val="24"/>
        <w:widowControl w:val="0"/>
        <w:numPr>
          <w:ilvl w:val="0"/>
          <w:numId w:val="0"/>
        </w:numPr>
        <w:adjustRightInd w:val="0"/>
        <w:snapToGrid w:val="0"/>
        <w:spacing w:beforeLines="0" w:afterLines="0" w:line="579" w:lineRule="exact"/>
        <w:rPr>
          <w:rFonts w:ascii="Times New Roman" w:eastAsia="仿宋_GB2312"/>
          <w:sz w:val="28"/>
          <w:szCs w:val="28"/>
        </w:rPr>
      </w:pPr>
      <w:r>
        <w:rPr>
          <w:rFonts w:ascii="Times New Roman" w:eastAsia="仿宋_GB2312"/>
          <w:color w:val="000000"/>
          <w:sz w:val="30"/>
          <w:szCs w:val="30"/>
        </w:rPr>
        <w:t xml:space="preserve">6.3 </w:t>
      </w:r>
      <w:r>
        <w:rPr>
          <w:rFonts w:ascii="Times New Roman" w:eastAsia="仿宋_GB2312"/>
          <w:color w:val="000000"/>
          <w:sz w:val="28"/>
          <w:szCs w:val="28"/>
        </w:rPr>
        <w:t>基本条件包括资源价值、环境条件、旅游交通、游览设施、卫生设施及环境质量、游览服务、旅游安全、旅游智慧化、文化特色、综合管理等十个分项，每个分项的得分率应分别不低于 80% ，每个分项的得分合计应不低于 800分。</w:t>
      </w:r>
    </w:p>
    <w:p>
      <w:pPr>
        <w:widowControl/>
        <w:jc w:val="left"/>
        <w:rPr>
          <w:rFonts w:eastAsia="黑体"/>
          <w:color w:val="000000"/>
          <w:kern w:val="0"/>
          <w:sz w:val="28"/>
          <w:szCs w:val="28"/>
        </w:rPr>
      </w:pPr>
      <w:r>
        <w:rPr>
          <w:rFonts w:eastAsia="黑体"/>
          <w:color w:val="000000"/>
          <w:kern w:val="0"/>
          <w:sz w:val="30"/>
          <w:szCs w:val="30"/>
        </w:rPr>
        <w:t xml:space="preserve">7 </w:t>
      </w:r>
      <w:r>
        <w:rPr>
          <w:rFonts w:eastAsia="黑体"/>
          <w:color w:val="000000"/>
          <w:kern w:val="0"/>
          <w:sz w:val="28"/>
          <w:szCs w:val="28"/>
        </w:rPr>
        <w:t>评分表</w:t>
      </w:r>
    </w:p>
    <w:p>
      <w:pPr>
        <w:widowControl/>
        <w:spacing w:line="360" w:lineRule="auto"/>
        <w:jc w:val="left"/>
        <w:rPr>
          <w:color w:val="000000"/>
          <w:kern w:val="0"/>
          <w:sz w:val="30"/>
          <w:szCs w:val="30"/>
        </w:rPr>
      </w:pPr>
      <w:r>
        <w:rPr>
          <w:rFonts w:eastAsia="黑体"/>
          <w:color w:val="000000"/>
          <w:kern w:val="0"/>
          <w:sz w:val="30"/>
          <w:szCs w:val="30"/>
        </w:rPr>
        <w:t>7.1</w:t>
      </w:r>
      <w:r>
        <w:rPr>
          <w:rFonts w:hint="eastAsia" w:ascii="仿宋_GB2312" w:eastAsia="仿宋_GB2312"/>
          <w:color w:val="000000"/>
          <w:kern w:val="0"/>
          <w:sz w:val="28"/>
          <w:szCs w:val="28"/>
        </w:rPr>
        <w:t>必备条件评价具体内容见表</w:t>
      </w:r>
      <w:r>
        <w:rPr>
          <w:rFonts w:eastAsia="仿宋_GB2312"/>
          <w:color w:val="000000"/>
          <w:kern w:val="0"/>
          <w:sz w:val="30"/>
          <w:szCs w:val="30"/>
        </w:rPr>
        <w:t xml:space="preserve"> A.1</w:t>
      </w:r>
    </w:p>
    <w:tbl>
      <w:tblPr>
        <w:tblStyle w:val="8"/>
        <w:tblW w:w="84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5988"/>
        <w:gridCol w:w="16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93" w:type="dxa"/>
            <w:vAlign w:val="center"/>
          </w:tcPr>
          <w:p>
            <w:pPr>
              <w:widowControl/>
              <w:spacing w:line="360" w:lineRule="auto"/>
              <w:jc w:val="center"/>
              <w:rPr>
                <w:rFonts w:eastAsia="黑体"/>
                <w:color w:val="000000"/>
                <w:kern w:val="0"/>
                <w:sz w:val="24"/>
              </w:rPr>
            </w:pPr>
            <w:r>
              <w:rPr>
                <w:rFonts w:eastAsia="黑体"/>
                <w:b/>
                <w:color w:val="000000"/>
                <w:kern w:val="0"/>
                <w:sz w:val="24"/>
              </w:rPr>
              <w:t>序号</w:t>
            </w:r>
          </w:p>
        </w:tc>
        <w:tc>
          <w:tcPr>
            <w:tcW w:w="5988" w:type="dxa"/>
            <w:vAlign w:val="center"/>
          </w:tcPr>
          <w:p>
            <w:pPr>
              <w:widowControl/>
              <w:spacing w:line="360" w:lineRule="auto"/>
              <w:jc w:val="center"/>
              <w:rPr>
                <w:rFonts w:eastAsia="黑体"/>
                <w:color w:val="000000"/>
                <w:kern w:val="0"/>
                <w:sz w:val="24"/>
              </w:rPr>
            </w:pPr>
            <w:r>
              <w:rPr>
                <w:rFonts w:eastAsia="黑体"/>
                <w:b/>
                <w:color w:val="000000"/>
                <w:kern w:val="0"/>
                <w:sz w:val="24"/>
              </w:rPr>
              <w:t>必备条件</w:t>
            </w:r>
          </w:p>
        </w:tc>
        <w:tc>
          <w:tcPr>
            <w:tcW w:w="1697" w:type="dxa"/>
            <w:vAlign w:val="center"/>
          </w:tcPr>
          <w:p>
            <w:pPr>
              <w:widowControl/>
              <w:jc w:val="center"/>
              <w:rPr>
                <w:rFonts w:eastAsia="黑体"/>
                <w:color w:val="000000"/>
                <w:kern w:val="0"/>
                <w:sz w:val="24"/>
              </w:rPr>
            </w:pPr>
            <w:r>
              <w:rPr>
                <w:rFonts w:eastAsia="黑体"/>
                <w:b/>
                <w:color w:val="000000"/>
                <w:kern w:val="0"/>
                <w:sz w:val="24"/>
              </w:rPr>
              <w:t>达标/不达标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793" w:type="dxa"/>
            <w:vAlign w:val="center"/>
          </w:tcPr>
          <w:p>
            <w:pPr>
              <w:widowControl/>
              <w:autoSpaceDE w:val="0"/>
              <w:autoSpaceDN w:val="0"/>
              <w:adjustRightInd w:val="0"/>
              <w:jc w:val="center"/>
              <w:rPr>
                <w:kern w:val="0"/>
                <w:sz w:val="24"/>
              </w:rPr>
            </w:pPr>
            <w:r>
              <w:rPr>
                <w:kern w:val="0"/>
                <w:sz w:val="24"/>
              </w:rPr>
              <w:t>1</w:t>
            </w:r>
          </w:p>
        </w:tc>
        <w:tc>
          <w:tcPr>
            <w:tcW w:w="5988" w:type="dxa"/>
            <w:vAlign w:val="center"/>
          </w:tcPr>
          <w:p>
            <w:pPr>
              <w:widowControl/>
              <w:autoSpaceDE w:val="0"/>
              <w:autoSpaceDN w:val="0"/>
              <w:adjustRightInd w:val="0"/>
              <w:rPr>
                <w:kern w:val="0"/>
                <w:sz w:val="24"/>
              </w:rPr>
            </w:pPr>
            <w:r>
              <w:rPr>
                <w:kern w:val="0"/>
                <w:sz w:val="24"/>
              </w:rPr>
              <w:t>主体明晰，</w:t>
            </w:r>
            <w:r>
              <w:rPr>
                <w:rFonts w:hint="eastAsia"/>
                <w:kern w:val="0"/>
                <w:sz w:val="24"/>
              </w:rPr>
              <w:t>具备有效的营业执照或管理机构证明文件</w:t>
            </w:r>
            <w:r>
              <w:rPr>
                <w:kern w:val="0"/>
                <w:sz w:val="24"/>
              </w:rPr>
              <w:t>。</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6" w:hRule="atLeast"/>
          <w:jc w:val="center"/>
        </w:trPr>
        <w:tc>
          <w:tcPr>
            <w:tcW w:w="793" w:type="dxa"/>
            <w:vAlign w:val="center"/>
          </w:tcPr>
          <w:p>
            <w:pPr>
              <w:widowControl/>
              <w:autoSpaceDE w:val="0"/>
              <w:autoSpaceDN w:val="0"/>
              <w:adjustRightInd w:val="0"/>
              <w:jc w:val="center"/>
              <w:rPr>
                <w:kern w:val="0"/>
                <w:sz w:val="24"/>
              </w:rPr>
            </w:pPr>
            <w:r>
              <w:rPr>
                <w:kern w:val="0"/>
                <w:sz w:val="24"/>
              </w:rPr>
              <w:t>2</w:t>
            </w:r>
          </w:p>
        </w:tc>
        <w:tc>
          <w:tcPr>
            <w:tcW w:w="5988" w:type="dxa"/>
            <w:vAlign w:val="center"/>
          </w:tcPr>
          <w:p>
            <w:pPr>
              <w:widowControl/>
              <w:autoSpaceDE w:val="0"/>
              <w:autoSpaceDN w:val="0"/>
              <w:adjustRightInd w:val="0"/>
              <w:rPr>
                <w:kern w:val="0"/>
                <w:sz w:val="24"/>
              </w:rPr>
            </w:pPr>
            <w:r>
              <w:rPr>
                <w:kern w:val="0"/>
                <w:sz w:val="24"/>
              </w:rPr>
              <w:t>产权明晰，有明确的空间边界，项目建设符合用地规划，内部空间关联紧密，交通连接方便快捷。</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28" w:hRule="atLeast"/>
          <w:jc w:val="center"/>
        </w:trPr>
        <w:tc>
          <w:tcPr>
            <w:tcW w:w="793" w:type="dxa"/>
            <w:vAlign w:val="center"/>
          </w:tcPr>
          <w:p>
            <w:pPr>
              <w:widowControl/>
              <w:autoSpaceDE w:val="0"/>
              <w:autoSpaceDN w:val="0"/>
              <w:adjustRightInd w:val="0"/>
              <w:jc w:val="center"/>
              <w:rPr>
                <w:kern w:val="0"/>
                <w:sz w:val="24"/>
              </w:rPr>
            </w:pPr>
            <w:r>
              <w:rPr>
                <w:kern w:val="0"/>
                <w:sz w:val="24"/>
              </w:rPr>
              <w:t>3</w:t>
            </w:r>
          </w:p>
        </w:tc>
        <w:tc>
          <w:tcPr>
            <w:tcW w:w="5988" w:type="dxa"/>
            <w:vAlign w:val="center"/>
          </w:tcPr>
          <w:p>
            <w:pPr>
              <w:widowControl/>
              <w:autoSpaceDE w:val="0"/>
              <w:autoSpaceDN w:val="0"/>
              <w:adjustRightInd w:val="0"/>
              <w:rPr>
                <w:kern w:val="0"/>
                <w:sz w:val="24"/>
              </w:rPr>
            </w:pPr>
            <w:r>
              <w:rPr>
                <w:kern w:val="0"/>
                <w:sz w:val="24"/>
              </w:rPr>
              <w:t>具备一定的工业旅游资源和景观质量，并以提供游览服务为重要功能。</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793" w:type="dxa"/>
            <w:vAlign w:val="center"/>
          </w:tcPr>
          <w:p>
            <w:pPr>
              <w:widowControl/>
              <w:autoSpaceDE w:val="0"/>
              <w:autoSpaceDN w:val="0"/>
              <w:adjustRightInd w:val="0"/>
              <w:jc w:val="center"/>
              <w:rPr>
                <w:rFonts w:hint="eastAsia" w:eastAsia="宋体"/>
                <w:kern w:val="0"/>
                <w:sz w:val="24"/>
                <w:lang w:val="en-US" w:eastAsia="zh-CN"/>
              </w:rPr>
            </w:pPr>
            <w:r>
              <w:rPr>
                <w:rFonts w:hint="eastAsia"/>
                <w:kern w:val="0"/>
                <w:sz w:val="24"/>
                <w:lang w:val="en-US" w:eastAsia="zh-CN"/>
              </w:rPr>
              <w:t>4</w:t>
            </w:r>
          </w:p>
        </w:tc>
        <w:tc>
          <w:tcPr>
            <w:tcW w:w="5988" w:type="dxa"/>
            <w:vAlign w:val="center"/>
          </w:tcPr>
          <w:p>
            <w:pPr>
              <w:widowControl/>
              <w:autoSpaceDE w:val="0"/>
              <w:autoSpaceDN w:val="0"/>
              <w:adjustRightInd w:val="0"/>
              <w:rPr>
                <w:kern w:val="0"/>
                <w:sz w:val="24"/>
              </w:rPr>
            </w:pPr>
            <w:r>
              <w:rPr>
                <w:rFonts w:hint="eastAsia"/>
                <w:kern w:val="0"/>
                <w:sz w:val="24"/>
                <w:lang w:val="en-US" w:eastAsia="zh-CN"/>
              </w:rPr>
              <w:t>具</w:t>
            </w:r>
            <w:r>
              <w:rPr>
                <w:rFonts w:hint="eastAsia" w:eastAsia="宋体"/>
                <w:kern w:val="0"/>
                <w:sz w:val="24"/>
                <w:lang w:val="en-US" w:eastAsia="zh-CN"/>
              </w:rPr>
              <w:t>有旅游经营管理机构和旅游从业人员。</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36" w:hRule="atLeast"/>
          <w:jc w:val="center"/>
        </w:trPr>
        <w:tc>
          <w:tcPr>
            <w:tcW w:w="793" w:type="dxa"/>
            <w:vAlign w:val="center"/>
          </w:tcPr>
          <w:p>
            <w:pPr>
              <w:widowControl/>
              <w:autoSpaceDE w:val="0"/>
              <w:autoSpaceDN w:val="0"/>
              <w:adjustRightInd w:val="0"/>
              <w:jc w:val="center"/>
              <w:rPr>
                <w:rFonts w:hint="eastAsia" w:eastAsia="宋体"/>
                <w:kern w:val="0"/>
                <w:sz w:val="24"/>
                <w:lang w:eastAsia="zh-CN"/>
              </w:rPr>
            </w:pPr>
            <w:r>
              <w:rPr>
                <w:rFonts w:hint="eastAsia"/>
                <w:kern w:val="0"/>
                <w:sz w:val="24"/>
                <w:lang w:val="en-US" w:eastAsia="zh-CN"/>
              </w:rPr>
              <w:t>5</w:t>
            </w:r>
          </w:p>
        </w:tc>
        <w:tc>
          <w:tcPr>
            <w:tcW w:w="5988" w:type="dxa"/>
            <w:vAlign w:val="center"/>
          </w:tcPr>
          <w:p>
            <w:pPr>
              <w:widowControl/>
              <w:autoSpaceDE w:val="0"/>
              <w:autoSpaceDN w:val="0"/>
              <w:adjustRightInd w:val="0"/>
              <w:rPr>
                <w:kern w:val="0"/>
                <w:sz w:val="24"/>
              </w:rPr>
            </w:pPr>
            <w:r>
              <w:rPr>
                <w:rFonts w:hint="eastAsia"/>
                <w:kern w:val="0"/>
                <w:sz w:val="24"/>
                <w:lang w:val="en-US" w:eastAsia="zh-CN"/>
              </w:rPr>
              <w:t>有必要安全设施和制度，经安全风险评估，满足安全条件。经营不满三年的，截止申报时未发生较大生产安全责任事故或亡人火灾事故；经营三年以上的，近三年内未发生较大生产安全责任事故或亡人火灾事故；公布并严格执行主管部门核定的最大承载量，制定旅游者安全保护制度和应急预案。</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12" w:hRule="atLeast"/>
          <w:jc w:val="center"/>
        </w:trPr>
        <w:tc>
          <w:tcPr>
            <w:tcW w:w="793" w:type="dxa"/>
            <w:vAlign w:val="center"/>
          </w:tcPr>
          <w:p>
            <w:pPr>
              <w:widowControl/>
              <w:autoSpaceDE w:val="0"/>
              <w:autoSpaceDN w:val="0"/>
              <w:adjustRightInd w:val="0"/>
              <w:jc w:val="center"/>
              <w:rPr>
                <w:rFonts w:hint="eastAsia" w:eastAsia="宋体"/>
                <w:kern w:val="0"/>
                <w:sz w:val="24"/>
                <w:lang w:eastAsia="zh-CN"/>
              </w:rPr>
            </w:pPr>
            <w:r>
              <w:rPr>
                <w:rFonts w:hint="eastAsia"/>
                <w:kern w:val="0"/>
                <w:sz w:val="24"/>
                <w:lang w:val="en-US" w:eastAsia="zh-CN"/>
              </w:rPr>
              <w:t>6</w:t>
            </w:r>
          </w:p>
        </w:tc>
        <w:tc>
          <w:tcPr>
            <w:tcW w:w="5988" w:type="dxa"/>
            <w:vAlign w:val="center"/>
          </w:tcPr>
          <w:p>
            <w:pPr>
              <w:widowControl/>
              <w:autoSpaceDE w:val="0"/>
              <w:autoSpaceDN w:val="0"/>
              <w:adjustRightInd w:val="0"/>
              <w:rPr>
                <w:kern w:val="0"/>
                <w:sz w:val="24"/>
              </w:rPr>
            </w:pPr>
            <w:r>
              <w:rPr>
                <w:rFonts w:hint="eastAsia"/>
                <w:kern w:val="0"/>
                <w:sz w:val="24"/>
                <w:lang w:val="en-US" w:eastAsia="zh-CN"/>
              </w:rPr>
              <w:t>有必要的环境保护设施和生态保护措施。经营不满三年的，截止申报时未发生重、特大环境污染事故；经营三年以上的，近三年内未发生重、特大环境污染事故。</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93" w:type="dxa"/>
            <w:vAlign w:val="center"/>
          </w:tcPr>
          <w:p>
            <w:pPr>
              <w:widowControl/>
              <w:autoSpaceDE w:val="0"/>
              <w:autoSpaceDN w:val="0"/>
              <w:adjustRightInd w:val="0"/>
              <w:jc w:val="center"/>
              <w:rPr>
                <w:rFonts w:hint="eastAsia" w:eastAsia="宋体"/>
                <w:kern w:val="0"/>
                <w:sz w:val="24"/>
                <w:lang w:eastAsia="zh-CN"/>
              </w:rPr>
            </w:pPr>
            <w:r>
              <w:rPr>
                <w:rFonts w:hint="eastAsia"/>
                <w:kern w:val="0"/>
                <w:sz w:val="24"/>
                <w:lang w:val="en-US" w:eastAsia="zh-CN"/>
              </w:rPr>
              <w:t>7</w:t>
            </w:r>
          </w:p>
        </w:tc>
        <w:tc>
          <w:tcPr>
            <w:tcW w:w="5988" w:type="dxa"/>
            <w:vAlign w:val="center"/>
          </w:tcPr>
          <w:p>
            <w:pPr>
              <w:widowControl/>
              <w:autoSpaceDE w:val="0"/>
              <w:autoSpaceDN w:val="0"/>
              <w:adjustRightInd w:val="0"/>
              <w:rPr>
                <w:kern w:val="0"/>
                <w:sz w:val="24"/>
              </w:rPr>
            </w:pPr>
            <w:r>
              <w:rPr>
                <w:rFonts w:hint="eastAsia"/>
                <w:kern w:val="0"/>
                <w:sz w:val="24"/>
                <w:lang w:val="en-US" w:eastAsia="zh-CN"/>
              </w:rPr>
              <w:t>诚信经营。</w:t>
            </w:r>
            <w:r>
              <w:rPr>
                <w:rFonts w:hint="eastAsia"/>
                <w:kern w:val="0"/>
                <w:sz w:val="24"/>
              </w:rPr>
              <w:t>经营不满三年的，截止申报时未发生重大市场失信和价格欺诈等问题；经营三年以上的，近三年内未发生重大市场失信和价格欺诈等问题。</w:t>
            </w:r>
          </w:p>
        </w:tc>
        <w:tc>
          <w:tcPr>
            <w:tcW w:w="169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793" w:type="dxa"/>
            <w:vAlign w:val="center"/>
          </w:tcPr>
          <w:p>
            <w:pPr>
              <w:widowControl/>
              <w:autoSpaceDE w:val="0"/>
              <w:autoSpaceDN w:val="0"/>
              <w:adjustRightInd w:val="0"/>
              <w:jc w:val="center"/>
              <w:rPr>
                <w:rFonts w:hint="eastAsia" w:eastAsia="宋体"/>
                <w:kern w:val="0"/>
                <w:sz w:val="24"/>
                <w:lang w:eastAsia="zh-CN"/>
              </w:rPr>
            </w:pPr>
            <w:r>
              <w:rPr>
                <w:rFonts w:hint="eastAsia"/>
                <w:kern w:val="0"/>
                <w:sz w:val="24"/>
                <w:lang w:val="en-US" w:eastAsia="zh-CN"/>
              </w:rPr>
              <w:t>8</w:t>
            </w:r>
          </w:p>
        </w:tc>
        <w:tc>
          <w:tcPr>
            <w:tcW w:w="5988" w:type="dxa"/>
            <w:vAlign w:val="center"/>
          </w:tcPr>
          <w:p>
            <w:pPr>
              <w:widowControl/>
              <w:autoSpaceDE w:val="0"/>
              <w:autoSpaceDN w:val="0"/>
              <w:adjustRightInd w:val="0"/>
              <w:rPr>
                <w:kern w:val="0"/>
                <w:sz w:val="24"/>
              </w:rPr>
            </w:pPr>
            <w:r>
              <w:rPr>
                <w:kern w:val="0"/>
                <w:sz w:val="24"/>
              </w:rPr>
              <w:t>培育和践行社会主义核心价值观，倡导文明旅游和绿色消费。</w:t>
            </w:r>
          </w:p>
        </w:tc>
        <w:tc>
          <w:tcPr>
            <w:tcW w:w="1697" w:type="dxa"/>
            <w:vAlign w:val="center"/>
          </w:tcPr>
          <w:p>
            <w:pPr>
              <w:widowControl/>
              <w:spacing w:line="360" w:lineRule="auto"/>
              <w:rPr>
                <w:color w:val="000000"/>
                <w:kern w:val="0"/>
                <w:sz w:val="24"/>
              </w:rPr>
            </w:pPr>
          </w:p>
        </w:tc>
      </w:tr>
    </w:tbl>
    <w:p>
      <w:pPr>
        <w:widowControl/>
        <w:spacing w:line="360" w:lineRule="auto"/>
        <w:jc w:val="left"/>
        <w:rPr>
          <w:color w:val="000000"/>
          <w:kern w:val="0"/>
          <w:sz w:val="24"/>
        </w:rPr>
      </w:pPr>
    </w:p>
    <w:p>
      <w:pPr>
        <w:widowControl/>
        <w:spacing w:line="360" w:lineRule="auto"/>
        <w:jc w:val="left"/>
        <w:rPr>
          <w:color w:val="000000"/>
          <w:kern w:val="0"/>
          <w:sz w:val="28"/>
          <w:szCs w:val="28"/>
        </w:rPr>
      </w:pPr>
      <w:r>
        <w:rPr>
          <w:rFonts w:eastAsia="黑体"/>
          <w:color w:val="000000"/>
          <w:kern w:val="0"/>
          <w:sz w:val="30"/>
          <w:szCs w:val="30"/>
        </w:rPr>
        <w:t>7.2</w:t>
      </w:r>
      <w:r>
        <w:rPr>
          <w:rFonts w:hint="eastAsia" w:ascii="仿宋_GB2312" w:eastAsia="仿宋_GB2312"/>
          <w:color w:val="000000"/>
          <w:kern w:val="0"/>
          <w:sz w:val="28"/>
          <w:szCs w:val="28"/>
        </w:rPr>
        <w:t>评分表具体内容见表</w:t>
      </w:r>
      <w:r>
        <w:rPr>
          <w:rFonts w:eastAsia="仿宋_GB2312"/>
          <w:color w:val="000000"/>
          <w:kern w:val="0"/>
          <w:sz w:val="28"/>
          <w:szCs w:val="28"/>
        </w:rPr>
        <w:t xml:space="preserve"> A.2</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7"/>
        <w:gridCol w:w="4451"/>
        <w:gridCol w:w="752"/>
        <w:gridCol w:w="797"/>
        <w:gridCol w:w="598"/>
        <w:gridCol w:w="527"/>
        <w:gridCol w:w="5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4" w:hRule="atLeast"/>
          <w:tblHeader/>
        </w:trPr>
        <w:tc>
          <w:tcPr>
            <w:tcW w:w="1047" w:type="dxa"/>
            <w:vAlign w:val="center"/>
          </w:tcPr>
          <w:p>
            <w:pPr>
              <w:widowControl/>
              <w:spacing w:line="360" w:lineRule="auto"/>
              <w:jc w:val="center"/>
              <w:rPr>
                <w:color w:val="000000"/>
                <w:kern w:val="0"/>
                <w:sz w:val="24"/>
              </w:rPr>
            </w:pPr>
            <w:r>
              <w:rPr>
                <w:b/>
                <w:color w:val="000000"/>
                <w:kern w:val="0"/>
                <w:szCs w:val="21"/>
              </w:rPr>
              <w:t>序号</w:t>
            </w:r>
          </w:p>
        </w:tc>
        <w:tc>
          <w:tcPr>
            <w:tcW w:w="4451" w:type="dxa"/>
            <w:vAlign w:val="center"/>
          </w:tcPr>
          <w:p>
            <w:pPr>
              <w:widowControl/>
              <w:spacing w:line="360" w:lineRule="auto"/>
              <w:jc w:val="center"/>
              <w:rPr>
                <w:color w:val="000000"/>
                <w:kern w:val="0"/>
                <w:sz w:val="24"/>
              </w:rPr>
            </w:pPr>
            <w:r>
              <w:rPr>
                <w:b/>
                <w:color w:val="000000"/>
                <w:kern w:val="0"/>
                <w:szCs w:val="21"/>
              </w:rPr>
              <w:t>检 查 项 目</w:t>
            </w:r>
          </w:p>
        </w:tc>
        <w:tc>
          <w:tcPr>
            <w:tcW w:w="752" w:type="dxa"/>
            <w:vAlign w:val="center"/>
          </w:tcPr>
          <w:p>
            <w:pPr>
              <w:widowControl/>
              <w:jc w:val="center"/>
              <w:rPr>
                <w:b/>
                <w:color w:val="000000"/>
                <w:kern w:val="0"/>
                <w:szCs w:val="21"/>
              </w:rPr>
            </w:pPr>
          </w:p>
          <w:p>
            <w:pPr>
              <w:widowControl/>
              <w:jc w:val="center"/>
              <w:rPr>
                <w:b/>
                <w:color w:val="000000"/>
                <w:kern w:val="0"/>
                <w:szCs w:val="21"/>
              </w:rPr>
            </w:pPr>
            <w:r>
              <w:rPr>
                <w:b/>
                <w:color w:val="000000"/>
                <w:kern w:val="0"/>
                <w:szCs w:val="21"/>
              </w:rPr>
              <w:t>大</w:t>
            </w:r>
          </w:p>
          <w:p>
            <w:pPr>
              <w:widowControl/>
              <w:jc w:val="center"/>
              <w:rPr>
                <w:b/>
                <w:color w:val="000000"/>
                <w:kern w:val="0"/>
                <w:szCs w:val="21"/>
              </w:rPr>
            </w:pPr>
            <w:r>
              <w:rPr>
                <w:b/>
                <w:color w:val="000000"/>
                <w:kern w:val="0"/>
                <w:szCs w:val="21"/>
              </w:rPr>
              <w:t>项</w:t>
            </w:r>
          </w:p>
          <w:p>
            <w:pPr>
              <w:widowControl/>
              <w:jc w:val="center"/>
              <w:rPr>
                <w:b/>
                <w:color w:val="000000"/>
                <w:kern w:val="0"/>
                <w:szCs w:val="21"/>
              </w:rPr>
            </w:pPr>
            <w:r>
              <w:rPr>
                <w:b/>
                <w:color w:val="000000"/>
                <w:kern w:val="0"/>
                <w:szCs w:val="21"/>
              </w:rPr>
              <w:t>分</w:t>
            </w:r>
          </w:p>
          <w:p>
            <w:pPr>
              <w:widowControl/>
              <w:jc w:val="center"/>
              <w:rPr>
                <w:color w:val="000000"/>
                <w:kern w:val="0"/>
                <w:sz w:val="24"/>
              </w:rPr>
            </w:pPr>
            <w:r>
              <w:rPr>
                <w:b/>
                <w:color w:val="000000"/>
                <w:kern w:val="0"/>
                <w:szCs w:val="21"/>
              </w:rPr>
              <w:t>值</w:t>
            </w:r>
          </w:p>
        </w:tc>
        <w:tc>
          <w:tcPr>
            <w:tcW w:w="797" w:type="dxa"/>
            <w:vAlign w:val="center"/>
          </w:tcPr>
          <w:p>
            <w:pPr>
              <w:widowControl/>
              <w:jc w:val="center"/>
              <w:rPr>
                <w:b/>
                <w:color w:val="000000"/>
                <w:kern w:val="0"/>
                <w:szCs w:val="21"/>
              </w:rPr>
            </w:pPr>
          </w:p>
          <w:p>
            <w:pPr>
              <w:widowControl/>
              <w:jc w:val="center"/>
              <w:rPr>
                <w:b/>
                <w:color w:val="000000"/>
                <w:kern w:val="0"/>
                <w:szCs w:val="21"/>
              </w:rPr>
            </w:pPr>
            <w:r>
              <w:rPr>
                <w:b/>
                <w:color w:val="000000"/>
                <w:kern w:val="0"/>
                <w:szCs w:val="21"/>
              </w:rPr>
              <w:t>分</w:t>
            </w:r>
          </w:p>
          <w:p>
            <w:pPr>
              <w:widowControl/>
              <w:jc w:val="center"/>
              <w:rPr>
                <w:b/>
                <w:color w:val="000000"/>
                <w:kern w:val="0"/>
                <w:szCs w:val="21"/>
              </w:rPr>
            </w:pPr>
            <w:r>
              <w:rPr>
                <w:b/>
                <w:color w:val="000000"/>
                <w:kern w:val="0"/>
                <w:szCs w:val="21"/>
              </w:rPr>
              <w:t>项</w:t>
            </w:r>
          </w:p>
          <w:p>
            <w:pPr>
              <w:widowControl/>
              <w:jc w:val="center"/>
              <w:rPr>
                <w:b/>
                <w:color w:val="000000"/>
                <w:kern w:val="0"/>
                <w:szCs w:val="21"/>
              </w:rPr>
            </w:pPr>
            <w:r>
              <w:rPr>
                <w:b/>
                <w:color w:val="000000"/>
                <w:kern w:val="0"/>
                <w:szCs w:val="21"/>
              </w:rPr>
              <w:t>分</w:t>
            </w:r>
          </w:p>
          <w:p>
            <w:pPr>
              <w:widowControl/>
              <w:jc w:val="center"/>
              <w:rPr>
                <w:color w:val="000000"/>
                <w:kern w:val="0"/>
                <w:sz w:val="24"/>
              </w:rPr>
            </w:pPr>
            <w:r>
              <w:rPr>
                <w:b/>
                <w:color w:val="000000"/>
                <w:kern w:val="0"/>
                <w:szCs w:val="21"/>
              </w:rPr>
              <w:t>值</w:t>
            </w:r>
          </w:p>
        </w:tc>
        <w:tc>
          <w:tcPr>
            <w:tcW w:w="598" w:type="dxa"/>
            <w:vAlign w:val="center"/>
          </w:tcPr>
          <w:p>
            <w:pPr>
              <w:widowControl/>
              <w:jc w:val="center"/>
              <w:rPr>
                <w:b/>
                <w:color w:val="000000"/>
                <w:kern w:val="0"/>
                <w:szCs w:val="21"/>
              </w:rPr>
            </w:pPr>
            <w:r>
              <w:rPr>
                <w:b/>
                <w:color w:val="000000"/>
                <w:kern w:val="0"/>
                <w:szCs w:val="21"/>
              </w:rPr>
              <w:t>次</w:t>
            </w:r>
          </w:p>
          <w:p>
            <w:pPr>
              <w:widowControl/>
              <w:jc w:val="center"/>
              <w:rPr>
                <w:b/>
                <w:color w:val="000000"/>
                <w:kern w:val="0"/>
                <w:szCs w:val="21"/>
              </w:rPr>
            </w:pPr>
            <w:r>
              <w:rPr>
                <w:b/>
                <w:color w:val="000000"/>
                <w:kern w:val="0"/>
                <w:szCs w:val="21"/>
              </w:rPr>
              <w:t>分</w:t>
            </w:r>
          </w:p>
          <w:p>
            <w:pPr>
              <w:widowControl/>
              <w:jc w:val="center"/>
              <w:rPr>
                <w:b/>
                <w:color w:val="000000"/>
                <w:kern w:val="0"/>
                <w:szCs w:val="21"/>
              </w:rPr>
            </w:pPr>
            <w:r>
              <w:rPr>
                <w:b/>
                <w:color w:val="000000"/>
                <w:kern w:val="0"/>
                <w:szCs w:val="21"/>
              </w:rPr>
              <w:t>项</w:t>
            </w:r>
          </w:p>
          <w:p>
            <w:pPr>
              <w:widowControl/>
              <w:jc w:val="center"/>
              <w:rPr>
                <w:b/>
                <w:color w:val="000000"/>
                <w:kern w:val="0"/>
                <w:szCs w:val="21"/>
              </w:rPr>
            </w:pPr>
            <w:r>
              <w:rPr>
                <w:b/>
                <w:color w:val="000000"/>
                <w:kern w:val="0"/>
                <w:szCs w:val="21"/>
              </w:rPr>
              <w:t>分</w:t>
            </w:r>
          </w:p>
          <w:p>
            <w:pPr>
              <w:widowControl/>
              <w:jc w:val="center"/>
              <w:rPr>
                <w:color w:val="000000"/>
                <w:kern w:val="0"/>
                <w:sz w:val="24"/>
              </w:rPr>
            </w:pPr>
            <w:r>
              <w:rPr>
                <w:b/>
                <w:color w:val="000000"/>
                <w:kern w:val="0"/>
                <w:szCs w:val="21"/>
              </w:rPr>
              <w:t>值</w:t>
            </w:r>
          </w:p>
        </w:tc>
        <w:tc>
          <w:tcPr>
            <w:tcW w:w="527" w:type="dxa"/>
            <w:vAlign w:val="center"/>
          </w:tcPr>
          <w:p>
            <w:pPr>
              <w:widowControl/>
              <w:jc w:val="center"/>
              <w:rPr>
                <w:szCs w:val="21"/>
              </w:rPr>
            </w:pPr>
            <w:r>
              <w:rPr>
                <w:b/>
                <w:color w:val="000000"/>
                <w:kern w:val="0"/>
                <w:szCs w:val="21"/>
              </w:rPr>
              <w:t>小</w:t>
            </w:r>
          </w:p>
          <w:p>
            <w:pPr>
              <w:widowControl/>
              <w:jc w:val="center"/>
              <w:rPr>
                <w:szCs w:val="21"/>
              </w:rPr>
            </w:pPr>
            <w:r>
              <w:rPr>
                <w:b/>
                <w:color w:val="000000"/>
                <w:kern w:val="0"/>
                <w:szCs w:val="21"/>
              </w:rPr>
              <w:t>分</w:t>
            </w:r>
          </w:p>
          <w:p>
            <w:pPr>
              <w:widowControl/>
              <w:jc w:val="center"/>
              <w:rPr>
                <w:szCs w:val="21"/>
              </w:rPr>
            </w:pPr>
            <w:r>
              <w:rPr>
                <w:b/>
                <w:color w:val="000000"/>
                <w:kern w:val="0"/>
                <w:szCs w:val="21"/>
              </w:rPr>
              <w:t>项</w:t>
            </w:r>
          </w:p>
          <w:p>
            <w:pPr>
              <w:widowControl/>
              <w:jc w:val="center"/>
              <w:rPr>
                <w:szCs w:val="21"/>
              </w:rPr>
            </w:pPr>
            <w:r>
              <w:rPr>
                <w:b/>
                <w:color w:val="000000"/>
                <w:kern w:val="0"/>
                <w:szCs w:val="21"/>
              </w:rPr>
              <w:t>分</w:t>
            </w:r>
          </w:p>
          <w:p>
            <w:pPr>
              <w:widowControl/>
              <w:jc w:val="center"/>
              <w:rPr>
                <w:color w:val="000000"/>
                <w:kern w:val="0"/>
                <w:sz w:val="24"/>
              </w:rPr>
            </w:pPr>
            <w:r>
              <w:rPr>
                <w:b/>
                <w:color w:val="000000"/>
                <w:kern w:val="0"/>
                <w:szCs w:val="21"/>
              </w:rPr>
              <w:t>值</w:t>
            </w:r>
          </w:p>
        </w:tc>
        <w:tc>
          <w:tcPr>
            <w:tcW w:w="507" w:type="dxa"/>
            <w:vAlign w:val="center"/>
          </w:tcPr>
          <w:p>
            <w:pPr>
              <w:widowControl/>
              <w:jc w:val="center"/>
              <w:rPr>
                <w:szCs w:val="21"/>
              </w:rPr>
            </w:pPr>
            <w:r>
              <w:rPr>
                <w:b/>
                <w:color w:val="000000"/>
                <w:kern w:val="0"/>
                <w:szCs w:val="21"/>
              </w:rPr>
              <w:t>检</w:t>
            </w:r>
          </w:p>
          <w:p>
            <w:pPr>
              <w:widowControl/>
              <w:jc w:val="center"/>
              <w:rPr>
                <w:szCs w:val="21"/>
              </w:rPr>
            </w:pPr>
            <w:r>
              <w:rPr>
                <w:b/>
                <w:color w:val="000000"/>
                <w:kern w:val="0"/>
                <w:szCs w:val="21"/>
              </w:rPr>
              <w:t>查</w:t>
            </w:r>
          </w:p>
          <w:p>
            <w:pPr>
              <w:widowControl/>
              <w:jc w:val="center"/>
              <w:rPr>
                <w:szCs w:val="21"/>
              </w:rPr>
            </w:pPr>
            <w:r>
              <w:rPr>
                <w:b/>
                <w:color w:val="000000"/>
                <w:kern w:val="0"/>
                <w:szCs w:val="21"/>
              </w:rPr>
              <w:t>得</w:t>
            </w:r>
          </w:p>
          <w:p>
            <w:pPr>
              <w:widowControl/>
              <w:jc w:val="center"/>
              <w:rPr>
                <w:color w:val="000000"/>
                <w:kern w:val="0"/>
                <w:sz w:val="24"/>
              </w:rPr>
            </w:pPr>
            <w:r>
              <w:rPr>
                <w:b/>
                <w:color w:val="000000"/>
                <w:kern w:val="0"/>
                <w:szCs w:val="21"/>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autoSpaceDE w:val="0"/>
              <w:autoSpaceDN w:val="0"/>
              <w:adjustRightInd w:val="0"/>
              <w:spacing w:beforeLines="50" w:afterLines="50"/>
              <w:rPr>
                <w:rFonts w:eastAsia="黑体"/>
                <w:bCs/>
                <w:kern w:val="0"/>
                <w:sz w:val="24"/>
              </w:rPr>
            </w:pPr>
            <w:r>
              <w:rPr>
                <w:rFonts w:eastAsia="黑体"/>
                <w:bCs/>
                <w:kern w:val="0"/>
                <w:sz w:val="24"/>
              </w:rPr>
              <w:t>1</w:t>
            </w:r>
          </w:p>
        </w:tc>
        <w:tc>
          <w:tcPr>
            <w:tcW w:w="4451" w:type="dxa"/>
            <w:vAlign w:val="center"/>
          </w:tcPr>
          <w:p>
            <w:pPr>
              <w:autoSpaceDE w:val="0"/>
              <w:autoSpaceDN w:val="0"/>
              <w:adjustRightInd w:val="0"/>
              <w:spacing w:beforeLines="50" w:afterLines="50"/>
              <w:rPr>
                <w:rFonts w:eastAsia="黑体"/>
                <w:bCs/>
                <w:kern w:val="0"/>
                <w:sz w:val="24"/>
              </w:rPr>
            </w:pPr>
            <w:r>
              <w:rPr>
                <w:rFonts w:eastAsia="黑体"/>
                <w:bCs/>
                <w:kern w:val="0"/>
                <w:sz w:val="24"/>
              </w:rPr>
              <w:t>基本条件</w:t>
            </w:r>
          </w:p>
        </w:tc>
        <w:tc>
          <w:tcPr>
            <w:tcW w:w="752" w:type="dxa"/>
            <w:vAlign w:val="center"/>
          </w:tcPr>
          <w:p>
            <w:pPr>
              <w:widowControl/>
              <w:spacing w:beforeLines="50" w:afterLines="50"/>
              <w:rPr>
                <w:rFonts w:eastAsia="黑体"/>
                <w:bCs/>
                <w:color w:val="000000"/>
                <w:kern w:val="0"/>
                <w:sz w:val="24"/>
              </w:rPr>
            </w:pPr>
            <w:r>
              <w:rPr>
                <w:rFonts w:eastAsia="黑体"/>
                <w:bCs/>
                <w:color w:val="000000"/>
                <w:kern w:val="0"/>
                <w:sz w:val="24"/>
              </w:rPr>
              <w:t>1000</w:t>
            </w:r>
          </w:p>
        </w:tc>
        <w:tc>
          <w:tcPr>
            <w:tcW w:w="797" w:type="dxa"/>
            <w:vAlign w:val="center"/>
          </w:tcPr>
          <w:p>
            <w:pPr>
              <w:widowControl/>
              <w:spacing w:beforeLines="50" w:afterLines="50"/>
              <w:jc w:val="center"/>
              <w:rPr>
                <w:rFonts w:eastAsia="黑体"/>
                <w:bCs/>
                <w:color w:val="000000"/>
                <w:kern w:val="0"/>
                <w:sz w:val="24"/>
              </w:rPr>
            </w:pPr>
          </w:p>
        </w:tc>
        <w:tc>
          <w:tcPr>
            <w:tcW w:w="598" w:type="dxa"/>
            <w:vAlign w:val="center"/>
          </w:tcPr>
          <w:p>
            <w:pPr>
              <w:widowControl/>
              <w:spacing w:beforeLines="50" w:afterLines="50"/>
              <w:jc w:val="center"/>
              <w:rPr>
                <w:rFonts w:eastAsia="黑体"/>
                <w:bCs/>
                <w:color w:val="000000"/>
                <w:kern w:val="0"/>
                <w:sz w:val="24"/>
              </w:rPr>
            </w:pPr>
          </w:p>
        </w:tc>
        <w:tc>
          <w:tcPr>
            <w:tcW w:w="527" w:type="dxa"/>
            <w:vAlign w:val="center"/>
          </w:tcPr>
          <w:p>
            <w:pPr>
              <w:widowControl/>
              <w:spacing w:beforeLines="50" w:afterLines="50"/>
              <w:jc w:val="center"/>
              <w:rPr>
                <w:rFonts w:eastAsia="黑体"/>
                <w:bCs/>
                <w:color w:val="000000"/>
                <w:kern w:val="0"/>
                <w:sz w:val="24"/>
              </w:rPr>
            </w:pPr>
          </w:p>
        </w:tc>
        <w:tc>
          <w:tcPr>
            <w:tcW w:w="507" w:type="dxa"/>
            <w:vAlign w:val="center"/>
          </w:tcPr>
          <w:p>
            <w:pPr>
              <w:widowControl/>
              <w:spacing w:beforeLines="50" w:afterLines="50"/>
              <w:rPr>
                <w:rFonts w:eastAsia="黑体"/>
                <w:bCs/>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b/>
                <w:bCs/>
                <w:color w:val="000000"/>
                <w:kern w:val="0"/>
                <w:szCs w:val="21"/>
              </w:rPr>
            </w:pPr>
            <w:r>
              <w:rPr>
                <w:b/>
                <w:bCs/>
                <w:kern w:val="0"/>
                <w:szCs w:val="21"/>
              </w:rPr>
              <w:t>1.1</w:t>
            </w:r>
          </w:p>
        </w:tc>
        <w:tc>
          <w:tcPr>
            <w:tcW w:w="4451" w:type="dxa"/>
            <w:vAlign w:val="center"/>
          </w:tcPr>
          <w:p>
            <w:pPr>
              <w:widowControl/>
              <w:snapToGrid w:val="0"/>
              <w:rPr>
                <w:b/>
                <w:bCs/>
                <w:color w:val="000000"/>
                <w:kern w:val="0"/>
                <w:szCs w:val="21"/>
              </w:rPr>
            </w:pPr>
            <w:r>
              <w:rPr>
                <w:b/>
                <w:bCs/>
                <w:kern w:val="0"/>
                <w:szCs w:val="21"/>
              </w:rPr>
              <w:t>资源价值</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b/>
                <w:bCs/>
                <w:color w:val="000000"/>
                <w:kern w:val="0"/>
                <w:szCs w:val="21"/>
              </w:rPr>
              <w:t>1</w:t>
            </w:r>
            <w:r>
              <w:rPr>
                <w:rFonts w:hint="eastAsia"/>
                <w:b/>
                <w:bCs/>
                <w:color w:val="000000"/>
                <w:kern w:val="0"/>
                <w:szCs w:val="21"/>
              </w:rPr>
              <w:t>4</w:t>
            </w:r>
            <w:r>
              <w:rPr>
                <w:b/>
                <w:bCs/>
                <w:color w:val="000000"/>
                <w:kern w:val="0"/>
                <w:szCs w:val="21"/>
              </w:rPr>
              <w:t>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1.1.1</w:t>
            </w:r>
          </w:p>
        </w:tc>
        <w:tc>
          <w:tcPr>
            <w:tcW w:w="4451" w:type="dxa"/>
            <w:vAlign w:val="center"/>
          </w:tcPr>
          <w:p>
            <w:pPr>
              <w:pStyle w:val="24"/>
              <w:widowControl/>
              <w:numPr>
                <w:ilvl w:val="0"/>
                <w:numId w:val="0"/>
              </w:numPr>
              <w:snapToGrid w:val="0"/>
              <w:rPr>
                <w:rFonts w:ascii="Times New Roman"/>
                <w:color w:val="000000"/>
                <w:szCs w:val="21"/>
              </w:rPr>
            </w:pPr>
            <w:r>
              <w:rPr>
                <w:rFonts w:ascii="Times New Roman"/>
                <w:szCs w:val="21"/>
              </w:rPr>
              <w:t>具有一定的工业文化历史价值、科学价值或科普价值、观赏价值，或其中一类价值具有市级或以上意义。</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40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 xml:space="preserve">1.1.2 </w:t>
            </w:r>
          </w:p>
        </w:tc>
        <w:tc>
          <w:tcPr>
            <w:tcW w:w="4451" w:type="dxa"/>
            <w:vAlign w:val="center"/>
          </w:tcPr>
          <w:p>
            <w:pPr>
              <w:pStyle w:val="24"/>
              <w:widowControl/>
              <w:numPr>
                <w:ilvl w:val="0"/>
                <w:numId w:val="0"/>
              </w:numPr>
              <w:snapToGrid w:val="0"/>
              <w:rPr>
                <w:rFonts w:ascii="Times New Roman" w:eastAsiaTheme="minorEastAsia"/>
                <w:color w:val="000000"/>
                <w:kern w:val="2"/>
                <w:szCs w:val="21"/>
              </w:rPr>
            </w:pPr>
            <w:r>
              <w:rPr>
                <w:rFonts w:ascii="Times New Roman"/>
                <w:szCs w:val="21"/>
              </w:rPr>
              <w:t>资源实体基本完整，具有一定体量，分布空间连续、管理统一。</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30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 xml:space="preserve">1.1.3 </w:t>
            </w:r>
          </w:p>
        </w:tc>
        <w:tc>
          <w:tcPr>
            <w:tcW w:w="4451" w:type="dxa"/>
            <w:vAlign w:val="center"/>
          </w:tcPr>
          <w:p>
            <w:pPr>
              <w:pStyle w:val="24"/>
              <w:widowControl/>
              <w:numPr>
                <w:ilvl w:val="0"/>
                <w:numId w:val="0"/>
              </w:numPr>
              <w:snapToGrid w:val="0"/>
              <w:rPr>
                <w:rFonts w:ascii="Times New Roman"/>
                <w:color w:val="000000"/>
                <w:szCs w:val="21"/>
              </w:rPr>
            </w:pPr>
            <w:r>
              <w:rPr>
                <w:rFonts w:ascii="Times New Roman"/>
                <w:szCs w:val="21"/>
              </w:rPr>
              <w:t>游览线路应对工业生产、工艺流程、建筑景观、科技成果、工业遗产等内容进行充分展示，特色明显，具有一定的独创性或较强的体验性。</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40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1.1.4</w:t>
            </w:r>
          </w:p>
        </w:tc>
        <w:tc>
          <w:tcPr>
            <w:tcW w:w="4451" w:type="dxa"/>
            <w:vAlign w:val="center"/>
          </w:tcPr>
          <w:p>
            <w:pPr>
              <w:pStyle w:val="24"/>
              <w:widowControl/>
              <w:numPr>
                <w:ilvl w:val="0"/>
                <w:numId w:val="0"/>
              </w:numPr>
              <w:snapToGrid w:val="0"/>
              <w:rPr>
                <w:rFonts w:ascii="Times New Roman" w:eastAsiaTheme="minorEastAsia"/>
                <w:color w:val="000000"/>
                <w:kern w:val="2"/>
                <w:szCs w:val="21"/>
              </w:rPr>
            </w:pPr>
            <w:r>
              <w:rPr>
                <w:rFonts w:ascii="Times New Roman"/>
                <w:szCs w:val="21"/>
              </w:rPr>
              <w:t>年接待旅游者3000人次以上。</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30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b/>
                <w:bCs/>
                <w:color w:val="000000"/>
                <w:kern w:val="0"/>
                <w:szCs w:val="21"/>
              </w:rPr>
            </w:pPr>
            <w:r>
              <w:rPr>
                <w:b/>
                <w:bCs/>
                <w:kern w:val="0"/>
                <w:szCs w:val="21"/>
              </w:rPr>
              <w:t xml:space="preserve">1.2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环境条件 </w:t>
            </w:r>
          </w:p>
        </w:tc>
        <w:tc>
          <w:tcPr>
            <w:tcW w:w="752" w:type="dxa"/>
            <w:vAlign w:val="center"/>
          </w:tcPr>
          <w:p>
            <w:pPr>
              <w:widowControl/>
              <w:rPr>
                <w:b/>
                <w:bCs/>
                <w:color w:val="000000"/>
                <w:kern w:val="0"/>
                <w:szCs w:val="21"/>
              </w:rPr>
            </w:pPr>
          </w:p>
        </w:tc>
        <w:tc>
          <w:tcPr>
            <w:tcW w:w="797" w:type="dxa"/>
            <w:vAlign w:val="center"/>
          </w:tcPr>
          <w:p>
            <w:pPr>
              <w:widowControl/>
              <w:rPr>
                <w:b/>
                <w:bCs/>
                <w:color w:val="000000"/>
                <w:kern w:val="0"/>
                <w:szCs w:val="21"/>
              </w:rPr>
            </w:pPr>
            <w:r>
              <w:rPr>
                <w:b/>
                <w:bCs/>
                <w:color w:val="000000"/>
                <w:kern w:val="0"/>
                <w:szCs w:val="21"/>
              </w:rPr>
              <w:t>1</w:t>
            </w:r>
            <w:r>
              <w:rPr>
                <w:rFonts w:hint="eastAsia"/>
                <w:b/>
                <w:bCs/>
                <w:color w:val="000000"/>
                <w:kern w:val="0"/>
                <w:szCs w:val="21"/>
              </w:rPr>
              <w:t>00</w:t>
            </w:r>
          </w:p>
        </w:tc>
        <w:tc>
          <w:tcPr>
            <w:tcW w:w="598" w:type="dxa"/>
            <w:vAlign w:val="center"/>
          </w:tcPr>
          <w:p>
            <w:pPr>
              <w:widowControl/>
              <w:rPr>
                <w:b/>
                <w:bCs/>
                <w:color w:val="000000"/>
                <w:kern w:val="0"/>
                <w:szCs w:val="21"/>
              </w:rPr>
            </w:pPr>
          </w:p>
        </w:tc>
        <w:tc>
          <w:tcPr>
            <w:tcW w:w="527" w:type="dxa"/>
            <w:vAlign w:val="center"/>
          </w:tcPr>
          <w:p>
            <w:pPr>
              <w:widowControl/>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1.2.1</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环境空气质量应符合</w:t>
            </w:r>
            <w:r>
              <w:rPr>
                <w:rFonts w:hint="eastAsia" w:ascii="Times New Roman" w:eastAsia="宋体"/>
              </w:rPr>
              <w:t>《珠海市生态环境局关于印发</w:t>
            </w:r>
            <w:r>
              <w:rPr>
                <w:rFonts w:hint="eastAsia" w:ascii="Times New Roman" w:eastAsia="宋体"/>
                <w:lang w:val="en-US" w:eastAsia="zh-CN"/>
              </w:rPr>
              <w:t>&lt;</w:t>
            </w:r>
            <w:r>
              <w:rPr>
                <w:rFonts w:hint="eastAsia" w:ascii="Times New Roman" w:eastAsia="宋体"/>
              </w:rPr>
              <w:t>珠海市环境空气质量功能区划分（2022年修订）</w:t>
            </w:r>
            <w:r>
              <w:rPr>
                <w:rFonts w:hint="eastAsia" w:ascii="Times New Roman" w:eastAsia="宋体"/>
                <w:lang w:val="en-US" w:eastAsia="zh-CN"/>
              </w:rPr>
              <w:t>&gt;</w:t>
            </w:r>
            <w:r>
              <w:rPr>
                <w:rFonts w:hint="eastAsia" w:ascii="Times New Roman" w:eastAsia="宋体"/>
              </w:rPr>
              <w:t>的通知》（珠环〔2022〕197 号）</w:t>
            </w:r>
            <w:r>
              <w:rPr>
                <w:rFonts w:ascii="Times New Roman" w:eastAsia="宋体"/>
              </w:rPr>
              <w:t xml:space="preserve">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rFonts w:hint="eastAsia"/>
                <w:color w:val="000000"/>
                <w:kern w:val="0"/>
                <w:szCs w:val="21"/>
              </w:rPr>
              <w:t>25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1.2.2</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环境噪声应符合</w:t>
            </w:r>
            <w:r>
              <w:rPr>
                <w:rFonts w:hint="eastAsia" w:ascii="Times New Roman" w:eastAsia="宋体"/>
              </w:rPr>
              <w:t>《珠海市生态环境局关于印发珠海市声环境功能区区划的通知》（珠环〔2020〕177号）</w:t>
            </w:r>
            <w:r>
              <w:rPr>
                <w:rFonts w:ascii="Times New Roman" w:eastAsia="宋体"/>
              </w:rPr>
              <w:t xml:space="preserve">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rFonts w:hint="eastAsia"/>
                <w:color w:val="000000"/>
                <w:kern w:val="0"/>
                <w:szCs w:val="21"/>
              </w:rPr>
              <w:t>25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1.2.3</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地表水环境质量应符合GB 3838-2002</w:t>
            </w:r>
            <w:r>
              <w:rPr>
                <w:rFonts w:ascii="Times New Roman" w:hAnsi="宋体" w:eastAsia="宋体"/>
              </w:rPr>
              <w:t>Ⅳ</w:t>
            </w:r>
            <w:r>
              <w:rPr>
                <w:rFonts w:ascii="Times New Roman" w:eastAsia="宋体"/>
              </w:rPr>
              <w:t xml:space="preserve">类的规定。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rFonts w:hint="eastAsia"/>
                <w:color w:val="000000"/>
                <w:kern w:val="0"/>
                <w:szCs w:val="21"/>
              </w:rPr>
              <w:t>25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1.2.4</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污水综合排放应符合GB 8978-2002 三级标准的规定。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rFonts w:hint="eastAsia"/>
                <w:color w:val="000000"/>
                <w:kern w:val="0"/>
                <w:szCs w:val="21"/>
              </w:rPr>
              <w:t>25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kern w:val="0"/>
                <w:szCs w:val="21"/>
              </w:rPr>
            </w:pPr>
            <w:r>
              <w:rPr>
                <w:b/>
                <w:bCs/>
                <w:kern w:val="0"/>
                <w:szCs w:val="21"/>
              </w:rPr>
              <w:t xml:space="preserve">1.3 </w:t>
            </w:r>
          </w:p>
        </w:tc>
        <w:tc>
          <w:tcPr>
            <w:tcW w:w="4451" w:type="dxa"/>
            <w:vAlign w:val="center"/>
          </w:tcPr>
          <w:p>
            <w:pPr>
              <w:widowControl/>
              <w:rPr>
                <w:b/>
                <w:bCs/>
                <w:kern w:val="0"/>
                <w:szCs w:val="21"/>
              </w:rPr>
            </w:pPr>
            <w:r>
              <w:rPr>
                <w:b/>
                <w:bCs/>
                <w:kern w:val="0"/>
                <w:szCs w:val="21"/>
              </w:rPr>
              <w:t xml:space="preserve">旅游交通 </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b/>
                <w:bCs/>
                <w:color w:val="000000"/>
                <w:kern w:val="0"/>
                <w:szCs w:val="21"/>
              </w:rPr>
              <w:t>90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b/>
                <w:bCs/>
                <w:kern w:val="0"/>
                <w:szCs w:val="21"/>
              </w:rPr>
              <w:t xml:space="preserve">1.3.1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外部交通设施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color w:val="000000"/>
                <w:kern w:val="0"/>
                <w:szCs w:val="21"/>
              </w:rPr>
              <w:t>25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 xml:space="preserve">1.3.1.1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可进入性好，宜有城市公交或旅游专线车直达。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15</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kern w:val="0"/>
                <w:szCs w:val="21"/>
              </w:rPr>
              <w:t xml:space="preserve">1.3.1.2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外部道路的交通标志和标线应符合GB 5768.2 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color w:val="000000"/>
                <w:kern w:val="0"/>
                <w:szCs w:val="21"/>
              </w:rPr>
            </w:pPr>
            <w:r>
              <w:rPr>
                <w:b/>
                <w:bCs/>
                <w:kern w:val="0"/>
                <w:szCs w:val="21"/>
              </w:rPr>
              <w:t>1.3.2</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内部交通设施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color w:val="000000"/>
                <w:kern w:val="0"/>
                <w:szCs w:val="21"/>
              </w:rPr>
              <w:t>35</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1.3.2.1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游览线路设置应合理。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15</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1.3.2.2 </w:t>
            </w:r>
          </w:p>
        </w:tc>
        <w:tc>
          <w:tcPr>
            <w:tcW w:w="4451" w:type="dxa"/>
            <w:vAlign w:val="center"/>
          </w:tcPr>
          <w:p>
            <w:pPr>
              <w:pStyle w:val="16"/>
              <w:widowControl/>
              <w:snapToGrid w:val="0"/>
              <w:spacing w:beforeLines="0" w:afterLines="0"/>
              <w:jc w:val="both"/>
              <w:rPr>
                <w:rFonts w:ascii="Times New Roman" w:eastAsia="宋体"/>
                <w:color w:val="000000"/>
              </w:rPr>
            </w:pPr>
            <w:r>
              <w:rPr>
                <w:rFonts w:hint="eastAsia" w:ascii="Times New Roman" w:eastAsia="宋体"/>
                <w:lang w:eastAsia="zh-CN"/>
              </w:rPr>
              <w:t>景区面积达到</w:t>
            </w:r>
            <w:r>
              <w:rPr>
                <w:rFonts w:hint="eastAsia" w:ascii="Times New Roman" w:eastAsia="宋体"/>
                <w:lang w:val="en-US" w:eastAsia="zh-CN"/>
              </w:rPr>
              <w:t>10万平方米以上，</w:t>
            </w:r>
            <w:r>
              <w:rPr>
                <w:rFonts w:ascii="Times New Roman" w:eastAsia="宋体"/>
              </w:rPr>
              <w:t xml:space="preserve">宜配备用于内部交通的电瓶车等绿色环保专用车辆。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5</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1.3.2.3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在主要节点的醒目位置应设有指引标识牌，标识牌应布局合理，能够有效指引方向。公共信息图形符号应符合 GB/T 10001.1 和 GB/T 10001.2 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15</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b/>
                <w:bCs/>
                <w:kern w:val="0"/>
                <w:szCs w:val="21"/>
              </w:rPr>
              <w:t xml:space="preserve">1.3.3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停车场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color w:val="000000"/>
                <w:kern w:val="0"/>
                <w:szCs w:val="21"/>
              </w:rPr>
              <w:t>30</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1.3.3.1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应有与</w:t>
            </w:r>
            <w:r>
              <w:rPr>
                <w:rFonts w:hint="eastAsia" w:ascii="Times New Roman" w:eastAsia="宋体"/>
                <w:lang w:val="en-US" w:eastAsia="zh-CN"/>
              </w:rPr>
              <w:t>工业旅游点（区）</w:t>
            </w:r>
            <w:r>
              <w:rPr>
                <w:rFonts w:ascii="Times New Roman" w:eastAsia="宋体"/>
              </w:rPr>
              <w:t xml:space="preserve">接待能力相匹配且有专人管理或智能化管理的专用停车场，或在200m内有能提供停车服务的社会停车场。停车场场地绿色生态、平整坚实、清洁美观。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20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1.3.3.2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停车场标志规范、醒目，导向系统完善，游客车辆进出通道应方便、通畅。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1.4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游览设施 </w:t>
            </w:r>
          </w:p>
        </w:tc>
        <w:tc>
          <w:tcPr>
            <w:tcW w:w="752" w:type="dxa"/>
            <w:vAlign w:val="center"/>
          </w:tcPr>
          <w:p>
            <w:pPr>
              <w:widowControl/>
              <w:rPr>
                <w:b/>
                <w:bCs/>
                <w:color w:val="000000"/>
                <w:kern w:val="0"/>
                <w:szCs w:val="21"/>
              </w:rPr>
            </w:pPr>
          </w:p>
        </w:tc>
        <w:tc>
          <w:tcPr>
            <w:tcW w:w="797" w:type="dxa"/>
            <w:vAlign w:val="center"/>
          </w:tcPr>
          <w:p>
            <w:pPr>
              <w:widowControl/>
              <w:rPr>
                <w:b/>
                <w:bCs/>
                <w:color w:val="000000"/>
                <w:kern w:val="0"/>
                <w:szCs w:val="21"/>
              </w:rPr>
            </w:pPr>
            <w:r>
              <w:rPr>
                <w:b/>
                <w:bCs/>
                <w:color w:val="000000"/>
                <w:kern w:val="0"/>
                <w:szCs w:val="21"/>
              </w:rPr>
              <w:t>2</w:t>
            </w:r>
            <w:r>
              <w:rPr>
                <w:rFonts w:hint="eastAsia"/>
                <w:b/>
                <w:bCs/>
                <w:color w:val="000000"/>
                <w:kern w:val="0"/>
                <w:szCs w:val="21"/>
              </w:rPr>
              <w:t>0</w:t>
            </w:r>
            <w:r>
              <w:rPr>
                <w:b/>
                <w:bCs/>
                <w:color w:val="000000"/>
                <w:kern w:val="0"/>
                <w:szCs w:val="21"/>
              </w:rPr>
              <w:t>0</w:t>
            </w:r>
          </w:p>
        </w:tc>
        <w:tc>
          <w:tcPr>
            <w:tcW w:w="598" w:type="dxa"/>
            <w:vAlign w:val="center"/>
          </w:tcPr>
          <w:p>
            <w:pPr>
              <w:widowControl/>
              <w:rPr>
                <w:b/>
                <w:bCs/>
                <w:color w:val="000000"/>
                <w:kern w:val="0"/>
                <w:szCs w:val="21"/>
              </w:rPr>
            </w:pPr>
          </w:p>
        </w:tc>
        <w:tc>
          <w:tcPr>
            <w:tcW w:w="527" w:type="dxa"/>
            <w:vAlign w:val="center"/>
          </w:tcPr>
          <w:p>
            <w:pPr>
              <w:widowControl/>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b/>
                <w:bCs/>
                <w:kern w:val="0"/>
                <w:szCs w:val="21"/>
              </w:rPr>
              <w:t xml:space="preserve">1.4.1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旅游接待设施 </w:t>
            </w:r>
          </w:p>
        </w:tc>
        <w:tc>
          <w:tcPr>
            <w:tcW w:w="752" w:type="dxa"/>
            <w:vAlign w:val="center"/>
          </w:tcPr>
          <w:p>
            <w:pPr>
              <w:widowControl/>
              <w:rPr>
                <w:color w:val="000000"/>
                <w:kern w:val="0"/>
                <w:szCs w:val="21"/>
              </w:rPr>
            </w:pPr>
          </w:p>
        </w:tc>
        <w:tc>
          <w:tcPr>
            <w:tcW w:w="797" w:type="dxa"/>
            <w:vAlign w:val="center"/>
          </w:tcPr>
          <w:p>
            <w:pPr>
              <w:widowControl/>
              <w:rPr>
                <w:color w:val="000000"/>
                <w:kern w:val="0"/>
                <w:szCs w:val="21"/>
              </w:rPr>
            </w:pPr>
          </w:p>
        </w:tc>
        <w:tc>
          <w:tcPr>
            <w:tcW w:w="598" w:type="dxa"/>
            <w:vAlign w:val="center"/>
          </w:tcPr>
          <w:p>
            <w:pPr>
              <w:widowControl/>
              <w:rPr>
                <w:color w:val="000000"/>
                <w:kern w:val="0"/>
                <w:szCs w:val="21"/>
              </w:rPr>
            </w:pPr>
            <w:r>
              <w:rPr>
                <w:rFonts w:hint="eastAsia"/>
                <w:color w:val="000000"/>
                <w:kern w:val="0"/>
                <w:szCs w:val="21"/>
              </w:rPr>
              <w:t>80</w:t>
            </w:r>
          </w:p>
        </w:tc>
        <w:tc>
          <w:tcPr>
            <w:tcW w:w="527" w:type="dxa"/>
            <w:vAlign w:val="center"/>
          </w:tcPr>
          <w:p>
            <w:pPr>
              <w:widowControl/>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1.4.1.1</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应设有规模适宜的游客服务中心，位置合理、标识醒目、设施齐全、功能完备。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30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1.4.1.2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应提供旅游咨询服务，服务人员数量合理、服务热情、着装统一。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1.4.1.3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 xml:space="preserve">应设有游客休憩区域，宜提供饮水或饮料服务。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1.4.1.4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 xml:space="preserve">应提供游览区介绍和导览图，以及相关宣传资料。宜设有触摸屏和视频播放设施，向游客系统地介绍示范区的各类信息。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1.4.1.5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应在醒目位置公布游客参观及活动的注意事项，明示服务内容和收费信息。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Cs w:val="21"/>
              </w:rPr>
            </w:pPr>
            <w:r>
              <w:rPr>
                <w:b/>
                <w:bCs/>
                <w:kern w:val="0"/>
                <w:szCs w:val="21"/>
              </w:rPr>
              <w:t xml:space="preserve">1.4.2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游览区域 </w:t>
            </w:r>
          </w:p>
        </w:tc>
        <w:tc>
          <w:tcPr>
            <w:tcW w:w="752" w:type="dxa"/>
          </w:tcPr>
          <w:p>
            <w:pPr>
              <w:widowControl/>
              <w:spacing w:line="360" w:lineRule="auto"/>
              <w:jc w:val="left"/>
              <w:rPr>
                <w:color w:val="000000"/>
                <w:kern w:val="0"/>
                <w:szCs w:val="21"/>
              </w:rPr>
            </w:pPr>
          </w:p>
        </w:tc>
        <w:tc>
          <w:tcPr>
            <w:tcW w:w="797" w:type="dxa"/>
          </w:tcPr>
          <w:p>
            <w:pPr>
              <w:widowControl/>
              <w:spacing w:line="360" w:lineRule="auto"/>
              <w:jc w:val="center"/>
              <w:rPr>
                <w:color w:val="000000"/>
                <w:kern w:val="0"/>
                <w:szCs w:val="21"/>
              </w:rPr>
            </w:pPr>
          </w:p>
        </w:tc>
        <w:tc>
          <w:tcPr>
            <w:tcW w:w="598" w:type="dxa"/>
          </w:tcPr>
          <w:p>
            <w:pPr>
              <w:widowControl/>
              <w:spacing w:line="360" w:lineRule="auto"/>
              <w:jc w:val="center"/>
              <w:rPr>
                <w:color w:val="000000"/>
                <w:kern w:val="0"/>
                <w:szCs w:val="21"/>
              </w:rPr>
            </w:pPr>
            <w:r>
              <w:rPr>
                <w:color w:val="000000"/>
                <w:kern w:val="0"/>
                <w:szCs w:val="21"/>
              </w:rPr>
              <w:t>55</w:t>
            </w:r>
          </w:p>
        </w:tc>
        <w:tc>
          <w:tcPr>
            <w:tcW w:w="527" w:type="dxa"/>
          </w:tcPr>
          <w:p>
            <w:pPr>
              <w:widowControl/>
              <w:spacing w:line="360" w:lineRule="auto"/>
              <w:jc w:val="center"/>
              <w:rPr>
                <w:color w:val="000000"/>
                <w:kern w:val="0"/>
                <w:szCs w:val="21"/>
              </w:rPr>
            </w:pPr>
          </w:p>
        </w:tc>
        <w:tc>
          <w:tcPr>
            <w:tcW w:w="507" w:type="dxa"/>
          </w:tcPr>
          <w:p>
            <w:pPr>
              <w:widowControl/>
              <w:spacing w:line="360" w:lineRule="auto"/>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9" w:hRule="atLeast"/>
        </w:trPr>
        <w:tc>
          <w:tcPr>
            <w:tcW w:w="1047" w:type="dxa"/>
            <w:vAlign w:val="center"/>
          </w:tcPr>
          <w:p>
            <w:pPr>
              <w:widowControl/>
              <w:spacing w:line="360" w:lineRule="auto"/>
              <w:rPr>
                <w:color w:val="000000"/>
                <w:kern w:val="0"/>
                <w:sz w:val="24"/>
              </w:rPr>
            </w:pPr>
            <w:r>
              <w:rPr>
                <w:kern w:val="0"/>
                <w:szCs w:val="21"/>
              </w:rPr>
              <w:t xml:space="preserve">1.4.2.1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游览区域功能分区合理、环境优美，宜配备无障碍设施，无障碍设施应符合 GB 50763 的规定，无障碍设施符号应符合 GB/T 10001.9 的规定。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6" w:hRule="atLeast"/>
        </w:trPr>
        <w:tc>
          <w:tcPr>
            <w:tcW w:w="1047" w:type="dxa"/>
            <w:vAlign w:val="center"/>
          </w:tcPr>
          <w:p>
            <w:pPr>
              <w:widowControl/>
              <w:spacing w:line="360" w:lineRule="auto"/>
              <w:rPr>
                <w:color w:val="000000"/>
                <w:kern w:val="0"/>
                <w:sz w:val="24"/>
              </w:rPr>
            </w:pPr>
            <w:r>
              <w:rPr>
                <w:kern w:val="0"/>
                <w:szCs w:val="21"/>
              </w:rPr>
              <w:t xml:space="preserve">1.4.2.2 </w:t>
            </w:r>
          </w:p>
        </w:tc>
        <w:tc>
          <w:tcPr>
            <w:tcW w:w="4451" w:type="dxa"/>
            <w:shd w:val="clear" w:color="auto" w:fill="auto"/>
            <w:vAlign w:val="center"/>
          </w:tcPr>
          <w:p>
            <w:pPr>
              <w:pStyle w:val="16"/>
              <w:widowControl w:val="0"/>
              <w:spacing w:before="156" w:after="156"/>
              <w:jc w:val="both"/>
              <w:rPr>
                <w:rFonts w:ascii="Times New Roman" w:eastAsia="宋体"/>
                <w:color w:val="000000"/>
                <w:kern w:val="2"/>
              </w:rPr>
            </w:pPr>
            <w:r>
              <w:rPr>
                <w:rFonts w:ascii="Times New Roman" w:eastAsia="宋体"/>
              </w:rPr>
              <w:t xml:space="preserve">游览线路设置合理，游览活动安排科学，游览区域内容丰富，能提供产品实物、生产流程、厂景厂貌、科技成果等形式多样的展示 </w:t>
            </w:r>
          </w:p>
        </w:tc>
        <w:tc>
          <w:tcPr>
            <w:tcW w:w="752" w:type="dxa"/>
            <w:shd w:val="clear" w:color="auto" w:fill="auto"/>
            <w:vAlign w:val="center"/>
          </w:tcPr>
          <w:p>
            <w:pPr>
              <w:widowControl/>
              <w:spacing w:line="360" w:lineRule="auto"/>
              <w:rPr>
                <w:color w:val="000000"/>
                <w:kern w:val="0"/>
                <w:sz w:val="24"/>
              </w:rPr>
            </w:pPr>
          </w:p>
        </w:tc>
        <w:tc>
          <w:tcPr>
            <w:tcW w:w="797" w:type="dxa"/>
            <w:shd w:val="clear" w:color="auto" w:fill="auto"/>
            <w:vAlign w:val="center"/>
          </w:tcPr>
          <w:p>
            <w:pPr>
              <w:widowControl/>
              <w:spacing w:line="360" w:lineRule="auto"/>
              <w:jc w:val="center"/>
              <w:rPr>
                <w:color w:val="000000"/>
                <w:kern w:val="0"/>
                <w:sz w:val="24"/>
              </w:rPr>
            </w:pPr>
          </w:p>
        </w:tc>
        <w:tc>
          <w:tcPr>
            <w:tcW w:w="598" w:type="dxa"/>
            <w:shd w:val="clear" w:color="auto" w:fill="auto"/>
            <w:vAlign w:val="center"/>
          </w:tcPr>
          <w:p>
            <w:pPr>
              <w:widowControl/>
              <w:spacing w:line="360" w:lineRule="auto"/>
              <w:jc w:val="center"/>
              <w:rPr>
                <w:color w:val="000000"/>
                <w:kern w:val="0"/>
                <w:sz w:val="24"/>
              </w:rPr>
            </w:pPr>
          </w:p>
        </w:tc>
        <w:tc>
          <w:tcPr>
            <w:tcW w:w="527" w:type="dxa"/>
            <w:shd w:val="clear" w:color="auto" w:fill="auto"/>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kern w:val="0"/>
                <w:szCs w:val="21"/>
              </w:rPr>
            </w:pPr>
            <w:r>
              <w:rPr>
                <w:kern w:val="0"/>
                <w:szCs w:val="21"/>
              </w:rPr>
              <w:t>1.4.2.3</w:t>
            </w:r>
          </w:p>
        </w:tc>
        <w:tc>
          <w:tcPr>
            <w:tcW w:w="4451" w:type="dxa"/>
            <w:shd w:val="clear" w:color="auto" w:fill="auto"/>
            <w:vAlign w:val="center"/>
          </w:tcPr>
          <w:p>
            <w:pPr>
              <w:pStyle w:val="16"/>
              <w:widowControl w:val="0"/>
              <w:spacing w:before="156" w:after="156"/>
              <w:jc w:val="both"/>
              <w:rPr>
                <w:rFonts w:ascii="Times New Roman" w:eastAsia="宋体"/>
                <w:kern w:val="2"/>
              </w:rPr>
            </w:pPr>
            <w:r>
              <w:rPr>
                <w:rFonts w:ascii="Times New Roman" w:eastAsia="宋体"/>
              </w:rPr>
              <w:t>介绍说明牌（全景图、导览图、标识牌、介绍牌等）美观大方、有文化特色，宜有中外文对照；根据情况设立必要的安全提示牌和环保提示牌。</w:t>
            </w:r>
          </w:p>
        </w:tc>
        <w:tc>
          <w:tcPr>
            <w:tcW w:w="752" w:type="dxa"/>
            <w:shd w:val="clear" w:color="auto" w:fill="auto"/>
            <w:vAlign w:val="center"/>
          </w:tcPr>
          <w:p>
            <w:pPr>
              <w:widowControl/>
              <w:spacing w:line="360" w:lineRule="auto"/>
              <w:rPr>
                <w:color w:val="000000"/>
                <w:kern w:val="0"/>
                <w:sz w:val="24"/>
              </w:rPr>
            </w:pPr>
          </w:p>
        </w:tc>
        <w:tc>
          <w:tcPr>
            <w:tcW w:w="797" w:type="dxa"/>
            <w:shd w:val="clear" w:color="auto" w:fill="auto"/>
            <w:vAlign w:val="center"/>
          </w:tcPr>
          <w:p>
            <w:pPr>
              <w:widowControl/>
              <w:spacing w:line="360" w:lineRule="auto"/>
              <w:jc w:val="center"/>
              <w:rPr>
                <w:color w:val="000000"/>
                <w:kern w:val="0"/>
                <w:sz w:val="24"/>
              </w:rPr>
            </w:pPr>
          </w:p>
        </w:tc>
        <w:tc>
          <w:tcPr>
            <w:tcW w:w="598" w:type="dxa"/>
            <w:shd w:val="clear" w:color="auto" w:fill="auto"/>
            <w:vAlign w:val="center"/>
          </w:tcPr>
          <w:p>
            <w:pPr>
              <w:widowControl/>
              <w:spacing w:line="360" w:lineRule="auto"/>
              <w:jc w:val="center"/>
              <w:rPr>
                <w:color w:val="000000"/>
                <w:kern w:val="0"/>
                <w:sz w:val="24"/>
              </w:rPr>
            </w:pPr>
          </w:p>
        </w:tc>
        <w:tc>
          <w:tcPr>
            <w:tcW w:w="527" w:type="dxa"/>
            <w:shd w:val="clear" w:color="auto" w:fill="auto"/>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1.4.2.4 </w:t>
            </w:r>
          </w:p>
        </w:tc>
        <w:tc>
          <w:tcPr>
            <w:tcW w:w="4451" w:type="dxa"/>
            <w:vAlign w:val="center"/>
          </w:tcPr>
          <w:p>
            <w:pPr>
              <w:pStyle w:val="16"/>
              <w:widowControl w:val="0"/>
              <w:spacing w:before="156" w:after="156"/>
              <w:jc w:val="both"/>
              <w:rPr>
                <w:rFonts w:ascii="Times New Roman"/>
                <w:color w:val="000000"/>
                <w:kern w:val="2"/>
              </w:rPr>
            </w:pPr>
            <w:r>
              <w:rPr>
                <w:rFonts w:ascii="Times New Roman" w:eastAsia="宋体"/>
              </w:rPr>
              <w:t xml:space="preserve">参观游览活动具有互动性和参与性，活动内容应丰富有趣、形式多样。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Cs w:val="21"/>
              </w:rPr>
            </w:pPr>
            <w:r>
              <w:rPr>
                <w:b/>
                <w:bCs/>
                <w:kern w:val="0"/>
                <w:szCs w:val="21"/>
              </w:rPr>
              <w:t xml:space="preserve">1.4.3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接待能力 </w:t>
            </w:r>
          </w:p>
        </w:tc>
        <w:tc>
          <w:tcPr>
            <w:tcW w:w="752" w:type="dxa"/>
          </w:tcPr>
          <w:p>
            <w:pPr>
              <w:widowControl/>
              <w:spacing w:line="360" w:lineRule="auto"/>
              <w:jc w:val="left"/>
              <w:rPr>
                <w:color w:val="000000"/>
                <w:kern w:val="0"/>
                <w:szCs w:val="21"/>
              </w:rPr>
            </w:pPr>
          </w:p>
        </w:tc>
        <w:tc>
          <w:tcPr>
            <w:tcW w:w="797" w:type="dxa"/>
          </w:tcPr>
          <w:p>
            <w:pPr>
              <w:widowControl/>
              <w:spacing w:line="360" w:lineRule="auto"/>
              <w:jc w:val="center"/>
              <w:rPr>
                <w:color w:val="000000"/>
                <w:kern w:val="0"/>
                <w:szCs w:val="21"/>
              </w:rPr>
            </w:pPr>
          </w:p>
        </w:tc>
        <w:tc>
          <w:tcPr>
            <w:tcW w:w="598" w:type="dxa"/>
          </w:tcPr>
          <w:p>
            <w:pPr>
              <w:widowControl/>
              <w:spacing w:line="360" w:lineRule="auto"/>
              <w:jc w:val="center"/>
              <w:rPr>
                <w:color w:val="000000"/>
                <w:kern w:val="0"/>
                <w:szCs w:val="21"/>
              </w:rPr>
            </w:pPr>
            <w:r>
              <w:rPr>
                <w:color w:val="000000"/>
                <w:kern w:val="0"/>
                <w:szCs w:val="21"/>
              </w:rPr>
              <w:t>35</w:t>
            </w:r>
          </w:p>
        </w:tc>
        <w:tc>
          <w:tcPr>
            <w:tcW w:w="527" w:type="dxa"/>
          </w:tcPr>
          <w:p>
            <w:pPr>
              <w:widowControl/>
              <w:spacing w:line="360" w:lineRule="auto"/>
              <w:jc w:val="center"/>
              <w:rPr>
                <w:color w:val="000000"/>
                <w:kern w:val="0"/>
                <w:szCs w:val="21"/>
              </w:rPr>
            </w:pPr>
          </w:p>
        </w:tc>
        <w:tc>
          <w:tcPr>
            <w:tcW w:w="507" w:type="dxa"/>
          </w:tcPr>
          <w:p>
            <w:pPr>
              <w:widowControl/>
              <w:spacing w:line="360" w:lineRule="auto"/>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1.4.3.1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单次接待能力应根据承载量进行合理设置，不影响游客的游览体验。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1.4.3.2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开放时间应固定，能满足游客的旅游需求。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1.4.3.3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应具备一定规模的年接待能力和单次接待能力。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1.4.3.4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应有以预约参观为主的接待措施和应对高峰时期客流激增等突发状况的应急预案。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Cs w:val="21"/>
              </w:rPr>
            </w:pPr>
            <w:r>
              <w:rPr>
                <w:b/>
                <w:bCs/>
                <w:kern w:val="0"/>
                <w:szCs w:val="21"/>
              </w:rPr>
              <w:t xml:space="preserve">1.4.4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购物设施 </w:t>
            </w:r>
          </w:p>
        </w:tc>
        <w:tc>
          <w:tcPr>
            <w:tcW w:w="752" w:type="dxa"/>
          </w:tcPr>
          <w:p>
            <w:pPr>
              <w:widowControl/>
              <w:spacing w:line="360" w:lineRule="auto"/>
              <w:jc w:val="left"/>
              <w:rPr>
                <w:color w:val="000000"/>
                <w:kern w:val="0"/>
                <w:szCs w:val="21"/>
              </w:rPr>
            </w:pPr>
          </w:p>
        </w:tc>
        <w:tc>
          <w:tcPr>
            <w:tcW w:w="797" w:type="dxa"/>
          </w:tcPr>
          <w:p>
            <w:pPr>
              <w:widowControl/>
              <w:spacing w:line="360" w:lineRule="auto"/>
              <w:jc w:val="center"/>
              <w:rPr>
                <w:color w:val="000000"/>
                <w:kern w:val="0"/>
                <w:szCs w:val="21"/>
              </w:rPr>
            </w:pPr>
          </w:p>
        </w:tc>
        <w:tc>
          <w:tcPr>
            <w:tcW w:w="598" w:type="dxa"/>
          </w:tcPr>
          <w:p>
            <w:pPr>
              <w:widowControl/>
              <w:spacing w:line="360" w:lineRule="auto"/>
              <w:jc w:val="center"/>
              <w:rPr>
                <w:color w:val="000000"/>
                <w:kern w:val="0"/>
                <w:szCs w:val="21"/>
              </w:rPr>
            </w:pPr>
            <w:r>
              <w:rPr>
                <w:color w:val="000000"/>
                <w:kern w:val="0"/>
                <w:szCs w:val="21"/>
              </w:rPr>
              <w:t>30</w:t>
            </w:r>
          </w:p>
        </w:tc>
        <w:tc>
          <w:tcPr>
            <w:tcW w:w="527" w:type="dxa"/>
          </w:tcPr>
          <w:p>
            <w:pPr>
              <w:widowControl/>
              <w:spacing w:line="360" w:lineRule="auto"/>
              <w:jc w:val="center"/>
              <w:rPr>
                <w:color w:val="000000"/>
                <w:kern w:val="0"/>
                <w:szCs w:val="21"/>
              </w:rPr>
            </w:pPr>
          </w:p>
        </w:tc>
        <w:tc>
          <w:tcPr>
            <w:tcW w:w="507" w:type="dxa"/>
          </w:tcPr>
          <w:p>
            <w:pPr>
              <w:widowControl/>
              <w:spacing w:line="360" w:lineRule="auto"/>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1.4.4.1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应有场所固定、面积适宜的购物区域，购物场所布局合理，建筑造型、色彩、材质与环境较协调。</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1.4.4.2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对购物场所和从业人员进行统一管理，整体环境整洁，秩序良好，明码标价，无假冒伪劣商品，无围追兜售、强买强卖现象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1.4.4.3 </w:t>
            </w:r>
          </w:p>
        </w:tc>
        <w:tc>
          <w:tcPr>
            <w:tcW w:w="4451" w:type="dxa"/>
            <w:vAlign w:val="center"/>
          </w:tcPr>
          <w:p>
            <w:pPr>
              <w:pStyle w:val="16"/>
              <w:widowControl w:val="0"/>
              <w:spacing w:before="156" w:after="156"/>
              <w:jc w:val="both"/>
              <w:rPr>
                <w:rFonts w:ascii="Times New Roman" w:eastAsia="宋体"/>
                <w:color w:val="000000"/>
                <w:kern w:val="2"/>
              </w:rPr>
            </w:pPr>
            <w:r>
              <w:rPr>
                <w:rFonts w:ascii="Times New Roman" w:eastAsia="宋体"/>
              </w:rPr>
              <w:t xml:space="preserve">旅游商品种类丰富，能结合自身特点积极开发特色旅游商品和文创产品。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1.4.4.4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购物场所商品销售人员业务熟练、服务热情。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1.4.4.5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根据游客需要，可提供预订预购和商品邮寄等特色服务。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1.5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卫生设施及环境质量 </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rFonts w:hint="eastAsia"/>
                <w:b/>
                <w:bCs/>
                <w:color w:val="000000"/>
                <w:kern w:val="0"/>
                <w:szCs w:val="21"/>
              </w:rPr>
              <w:t>8</w:t>
            </w:r>
            <w:r>
              <w:rPr>
                <w:b/>
                <w:bCs/>
                <w:color w:val="000000"/>
                <w:kern w:val="0"/>
                <w:szCs w:val="21"/>
              </w:rPr>
              <w:t>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b/>
                <w:bCs/>
                <w:kern w:val="0"/>
                <w:szCs w:val="21"/>
              </w:rPr>
              <w:t xml:space="preserve">1.5.1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卫生间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color w:val="000000"/>
                <w:kern w:val="0"/>
                <w:szCs w:val="21"/>
              </w:rPr>
              <w:t>30</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1.5.1.1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卫生间应布局合理，标识醒目，男女厕位比例合理，数量能够满足需求。设施设备完好，建设要求应符合GB/T 18973-</w:t>
            </w:r>
            <w:r>
              <w:rPr>
                <w:rFonts w:hint="eastAsia" w:ascii="Times New Roman" w:eastAsia="宋体"/>
                <w:lang w:val="en-US" w:eastAsia="zh-CN"/>
              </w:rPr>
              <w:t>2022</w:t>
            </w:r>
            <w:r>
              <w:rPr>
                <w:rFonts w:ascii="Times New Roman" w:eastAsia="宋体"/>
              </w:rPr>
              <w:t xml:space="preserve"> A级的规定。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20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1.5.1.2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 xml:space="preserve">有方便特殊人群使用的设施，设施应符合GB 50763 的规定。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color w:val="000000"/>
                <w:kern w:val="0"/>
                <w:szCs w:val="21"/>
              </w:rPr>
            </w:pPr>
            <w:r>
              <w:rPr>
                <w:b/>
                <w:bCs/>
                <w:kern w:val="0"/>
                <w:szCs w:val="21"/>
              </w:rPr>
              <w:t xml:space="preserve">1.5.2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卫生环境 </w:t>
            </w:r>
          </w:p>
        </w:tc>
        <w:tc>
          <w:tcPr>
            <w:tcW w:w="752" w:type="dxa"/>
          </w:tcPr>
          <w:p>
            <w:pPr>
              <w:widowControl/>
              <w:jc w:val="left"/>
              <w:rPr>
                <w:color w:val="000000"/>
                <w:kern w:val="0"/>
                <w:szCs w:val="21"/>
              </w:rPr>
            </w:pPr>
          </w:p>
        </w:tc>
        <w:tc>
          <w:tcPr>
            <w:tcW w:w="797" w:type="dxa"/>
          </w:tcPr>
          <w:p>
            <w:pPr>
              <w:widowControl/>
              <w:jc w:val="center"/>
              <w:rPr>
                <w:color w:val="000000"/>
                <w:kern w:val="0"/>
                <w:szCs w:val="21"/>
              </w:rPr>
            </w:pPr>
          </w:p>
        </w:tc>
        <w:tc>
          <w:tcPr>
            <w:tcW w:w="598" w:type="dxa"/>
          </w:tcPr>
          <w:p>
            <w:pPr>
              <w:widowControl/>
              <w:jc w:val="center"/>
              <w:rPr>
                <w:color w:val="000000"/>
                <w:kern w:val="0"/>
                <w:szCs w:val="21"/>
              </w:rPr>
            </w:pPr>
            <w:r>
              <w:rPr>
                <w:rFonts w:hint="eastAsia"/>
                <w:color w:val="000000"/>
                <w:kern w:val="0"/>
                <w:szCs w:val="21"/>
              </w:rPr>
              <w:t>50</w:t>
            </w:r>
          </w:p>
        </w:tc>
        <w:tc>
          <w:tcPr>
            <w:tcW w:w="527" w:type="dxa"/>
          </w:tcPr>
          <w:p>
            <w:pPr>
              <w:widowControl/>
              <w:jc w:val="center"/>
              <w:rPr>
                <w:color w:val="000000"/>
                <w:kern w:val="0"/>
                <w:szCs w:val="21"/>
              </w:rPr>
            </w:pPr>
          </w:p>
        </w:tc>
        <w:tc>
          <w:tcPr>
            <w:tcW w:w="507"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1.5.2.1 </w:t>
            </w:r>
          </w:p>
        </w:tc>
        <w:tc>
          <w:tcPr>
            <w:tcW w:w="4451" w:type="dxa"/>
            <w:vAlign w:val="center"/>
          </w:tcPr>
          <w:p>
            <w:pPr>
              <w:pStyle w:val="16"/>
              <w:widowControl w:val="0"/>
              <w:spacing w:before="156" w:after="156"/>
              <w:jc w:val="both"/>
              <w:rPr>
                <w:rFonts w:ascii="Times New Roman" w:eastAsia="宋体"/>
                <w:color w:val="000000"/>
                <w:kern w:val="2"/>
              </w:rPr>
            </w:pPr>
            <w:r>
              <w:rPr>
                <w:rFonts w:ascii="Times New Roman" w:eastAsia="宋体"/>
              </w:rPr>
              <w:t xml:space="preserve">游览区域内环境卫生维护有效。建筑风貌与整体环境相协调。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1.5.2.2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垃圾箱布置应与环境相协调。</w:t>
            </w:r>
            <w:r>
              <w:rPr>
                <w:rFonts w:hint="eastAsia" w:ascii="Times New Roman" w:eastAsia="宋体"/>
                <w:lang w:val="en-US" w:eastAsia="zh-CN"/>
              </w:rPr>
              <w:t>宜</w:t>
            </w:r>
            <w:r>
              <w:rPr>
                <w:rFonts w:ascii="Times New Roman" w:eastAsia="宋体"/>
              </w:rPr>
              <w:t xml:space="preserve">采用分类式垃圾箱，采用环保材料制造，造型有特点，数量充足。垃圾清理应及时，日产日清。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1.5.2.3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文化娱乐设施卫生应符合GB 9664的规定。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1.5.2.4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卫生责任制度和卫生检查制度应健全，应落实环保责任人，定期进行卫生检查。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tabs>
                <w:tab w:val="center" w:pos="4153"/>
                <w:tab w:val="right" w:pos="8306"/>
              </w:tabs>
              <w:snapToGrid w:val="0"/>
              <w:spacing w:line="360" w:lineRule="auto"/>
              <w:rPr>
                <w:color w:val="000000"/>
                <w:kern w:val="0"/>
                <w:sz w:val="24"/>
              </w:rPr>
            </w:pPr>
            <w:r>
              <w:rPr>
                <w:kern w:val="0"/>
                <w:szCs w:val="21"/>
              </w:rPr>
              <w:t xml:space="preserve">1.5.2.5 </w:t>
            </w:r>
          </w:p>
        </w:tc>
        <w:tc>
          <w:tcPr>
            <w:tcW w:w="4451" w:type="dxa"/>
            <w:vAlign w:val="center"/>
          </w:tcPr>
          <w:p>
            <w:pPr>
              <w:pStyle w:val="16"/>
              <w:widowControl/>
              <w:tabs>
                <w:tab w:val="center" w:pos="4153"/>
                <w:tab w:val="right" w:pos="8306"/>
              </w:tabs>
              <w:snapToGrid w:val="0"/>
              <w:spacing w:beforeLines="0" w:afterLines="0"/>
              <w:jc w:val="left"/>
              <w:rPr>
                <w:rFonts w:ascii="Times New Roman" w:eastAsia="宋体"/>
                <w:color w:val="000000"/>
                <w:kern w:val="2"/>
              </w:rPr>
            </w:pPr>
            <w:r>
              <w:rPr>
                <w:rFonts w:hint="eastAsia" w:ascii="Times New Roman" w:eastAsia="宋体"/>
              </w:rPr>
              <w:t>可根据实际提供规模适度的食品销售和餐饮服务，设施外观和建筑风格与游览区内环境相协调，宜提供本土特色的产品。食品销售和餐饮服务经营者应持有效证照合法经营，食品安全应符合国家规定；餐饮服务配备相应消毒保洁设施，不使用对环境造成污染的一次性餐饮具。</w:t>
            </w:r>
            <w:r>
              <w:rPr>
                <w:rFonts w:ascii="Times New Roman" w:eastAsia="宋体"/>
              </w:rPr>
              <w:t xml:space="preserve">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1.5.2.6 </w:t>
            </w:r>
          </w:p>
        </w:tc>
        <w:tc>
          <w:tcPr>
            <w:tcW w:w="4451" w:type="dxa"/>
            <w:vAlign w:val="center"/>
          </w:tcPr>
          <w:p>
            <w:pPr>
              <w:pStyle w:val="18"/>
              <w:widowControl/>
              <w:snapToGrid w:val="0"/>
              <w:ind w:firstLine="0" w:firstLineChars="0"/>
              <w:rPr>
                <w:rFonts w:ascii="Times New Roman"/>
                <w:color w:val="000000"/>
                <w:szCs w:val="21"/>
              </w:rPr>
            </w:pPr>
            <w:r>
              <w:rPr>
                <w:rFonts w:ascii="Times New Roman"/>
                <w:szCs w:val="21"/>
              </w:rPr>
              <w:t>应提倡文明用餐，餐饮场所有制止餐饮浪费行为的宣传提示和措施，有效引导、提醒和督促游客节约饮食和绿色消费。</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rFonts w:hint="eastAsia"/>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b/>
                <w:bCs/>
                <w:color w:val="000000"/>
                <w:kern w:val="0"/>
                <w:szCs w:val="21"/>
              </w:rPr>
            </w:pPr>
            <w:r>
              <w:rPr>
                <w:b/>
                <w:bCs/>
                <w:kern w:val="0"/>
                <w:szCs w:val="21"/>
              </w:rPr>
              <w:t xml:space="preserve">1.6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游览服务 </w:t>
            </w:r>
          </w:p>
        </w:tc>
        <w:tc>
          <w:tcPr>
            <w:tcW w:w="752" w:type="dxa"/>
          </w:tcPr>
          <w:p>
            <w:pPr>
              <w:widowControl/>
              <w:jc w:val="left"/>
              <w:rPr>
                <w:b/>
                <w:bCs/>
                <w:color w:val="000000"/>
                <w:kern w:val="0"/>
                <w:szCs w:val="21"/>
              </w:rPr>
            </w:pPr>
          </w:p>
        </w:tc>
        <w:tc>
          <w:tcPr>
            <w:tcW w:w="797" w:type="dxa"/>
          </w:tcPr>
          <w:p>
            <w:pPr>
              <w:widowControl/>
              <w:jc w:val="center"/>
              <w:rPr>
                <w:b/>
                <w:bCs/>
                <w:color w:val="000000"/>
                <w:kern w:val="0"/>
                <w:szCs w:val="21"/>
              </w:rPr>
            </w:pPr>
            <w:r>
              <w:rPr>
                <w:b/>
                <w:bCs/>
                <w:color w:val="000000"/>
                <w:kern w:val="0"/>
                <w:szCs w:val="21"/>
              </w:rPr>
              <w:t>70</w:t>
            </w:r>
          </w:p>
        </w:tc>
        <w:tc>
          <w:tcPr>
            <w:tcW w:w="598" w:type="dxa"/>
          </w:tcPr>
          <w:p>
            <w:pPr>
              <w:widowControl/>
              <w:jc w:val="center"/>
              <w:rPr>
                <w:b/>
                <w:bCs/>
                <w:color w:val="000000"/>
                <w:kern w:val="0"/>
                <w:szCs w:val="21"/>
              </w:rPr>
            </w:pPr>
          </w:p>
        </w:tc>
        <w:tc>
          <w:tcPr>
            <w:tcW w:w="527" w:type="dxa"/>
          </w:tcPr>
          <w:p>
            <w:pPr>
              <w:widowControl/>
              <w:jc w:val="center"/>
              <w:rPr>
                <w:b/>
                <w:bCs/>
                <w:color w:val="000000"/>
                <w:kern w:val="0"/>
                <w:szCs w:val="21"/>
              </w:rPr>
            </w:pPr>
          </w:p>
        </w:tc>
        <w:tc>
          <w:tcPr>
            <w:tcW w:w="507" w:type="dxa"/>
          </w:tcPr>
          <w:p>
            <w:pPr>
              <w:widowControl/>
              <w:jc w:val="left"/>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color w:val="000000"/>
                <w:kern w:val="0"/>
                <w:szCs w:val="21"/>
              </w:rPr>
            </w:pPr>
            <w:r>
              <w:rPr>
                <w:b/>
                <w:bCs/>
                <w:kern w:val="0"/>
                <w:szCs w:val="21"/>
              </w:rPr>
              <w:t xml:space="preserve">1.6.1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人性化服务 </w:t>
            </w:r>
          </w:p>
        </w:tc>
        <w:tc>
          <w:tcPr>
            <w:tcW w:w="752" w:type="dxa"/>
          </w:tcPr>
          <w:p>
            <w:pPr>
              <w:widowControl/>
              <w:jc w:val="left"/>
              <w:rPr>
                <w:color w:val="000000"/>
                <w:kern w:val="0"/>
                <w:szCs w:val="21"/>
              </w:rPr>
            </w:pPr>
          </w:p>
        </w:tc>
        <w:tc>
          <w:tcPr>
            <w:tcW w:w="797" w:type="dxa"/>
          </w:tcPr>
          <w:p>
            <w:pPr>
              <w:widowControl/>
              <w:jc w:val="center"/>
              <w:rPr>
                <w:color w:val="000000"/>
                <w:kern w:val="0"/>
                <w:szCs w:val="21"/>
              </w:rPr>
            </w:pPr>
          </w:p>
        </w:tc>
        <w:tc>
          <w:tcPr>
            <w:tcW w:w="598" w:type="dxa"/>
          </w:tcPr>
          <w:p>
            <w:pPr>
              <w:widowControl/>
              <w:jc w:val="center"/>
              <w:rPr>
                <w:color w:val="000000"/>
                <w:kern w:val="0"/>
                <w:szCs w:val="21"/>
              </w:rPr>
            </w:pPr>
            <w:r>
              <w:rPr>
                <w:color w:val="000000"/>
                <w:kern w:val="0"/>
                <w:szCs w:val="21"/>
              </w:rPr>
              <w:t>20</w:t>
            </w:r>
          </w:p>
        </w:tc>
        <w:tc>
          <w:tcPr>
            <w:tcW w:w="527" w:type="dxa"/>
          </w:tcPr>
          <w:p>
            <w:pPr>
              <w:widowControl/>
              <w:jc w:val="center"/>
              <w:rPr>
                <w:color w:val="000000"/>
                <w:kern w:val="0"/>
                <w:szCs w:val="21"/>
              </w:rPr>
            </w:pPr>
          </w:p>
        </w:tc>
        <w:tc>
          <w:tcPr>
            <w:tcW w:w="507"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1.6.1.1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应为特定人群（残疾人、老年人、未成年人等）提供便利和优惠，配备无障碍通道、无障碍厕位、</w:t>
            </w:r>
            <w:r>
              <w:rPr>
                <w:rFonts w:hint="eastAsia" w:ascii="Times New Roman" w:eastAsia="宋体"/>
              </w:rPr>
              <w:t>无障碍停车位、母婴室、</w:t>
            </w:r>
            <w:r>
              <w:rPr>
                <w:rFonts w:ascii="Times New Roman" w:eastAsia="宋体"/>
              </w:rPr>
              <w:t>轮椅、拐杖、童车等设施与工具，并提供</w:t>
            </w:r>
            <w:r>
              <w:rPr>
                <w:rFonts w:hint="eastAsia" w:ascii="Times New Roman" w:eastAsia="宋体"/>
              </w:rPr>
              <w:t>人性化</w:t>
            </w:r>
            <w:r>
              <w:rPr>
                <w:rFonts w:ascii="Times New Roman" w:eastAsia="宋体"/>
              </w:rPr>
              <w:t xml:space="preserve">服务。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1.6.1.2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宜为游客提供个性化、定制化的特色服务。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color w:val="000000"/>
                <w:kern w:val="0"/>
                <w:szCs w:val="21"/>
              </w:rPr>
            </w:pPr>
            <w:r>
              <w:rPr>
                <w:b/>
                <w:bCs/>
                <w:kern w:val="0"/>
                <w:szCs w:val="21"/>
              </w:rPr>
              <w:t xml:space="preserve">1.6.2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讲解服务 </w:t>
            </w:r>
          </w:p>
        </w:tc>
        <w:tc>
          <w:tcPr>
            <w:tcW w:w="752" w:type="dxa"/>
          </w:tcPr>
          <w:p>
            <w:pPr>
              <w:widowControl/>
              <w:jc w:val="left"/>
              <w:rPr>
                <w:color w:val="000000"/>
                <w:kern w:val="0"/>
                <w:szCs w:val="21"/>
              </w:rPr>
            </w:pPr>
          </w:p>
        </w:tc>
        <w:tc>
          <w:tcPr>
            <w:tcW w:w="797" w:type="dxa"/>
          </w:tcPr>
          <w:p>
            <w:pPr>
              <w:widowControl/>
              <w:jc w:val="center"/>
              <w:rPr>
                <w:color w:val="000000"/>
                <w:kern w:val="0"/>
                <w:szCs w:val="21"/>
              </w:rPr>
            </w:pPr>
          </w:p>
        </w:tc>
        <w:tc>
          <w:tcPr>
            <w:tcW w:w="598" w:type="dxa"/>
          </w:tcPr>
          <w:p>
            <w:pPr>
              <w:widowControl/>
              <w:jc w:val="center"/>
              <w:rPr>
                <w:color w:val="000000"/>
                <w:kern w:val="0"/>
                <w:szCs w:val="21"/>
              </w:rPr>
            </w:pPr>
            <w:r>
              <w:rPr>
                <w:color w:val="000000"/>
                <w:kern w:val="0"/>
                <w:szCs w:val="21"/>
              </w:rPr>
              <w:t>50</w:t>
            </w:r>
          </w:p>
        </w:tc>
        <w:tc>
          <w:tcPr>
            <w:tcW w:w="527" w:type="dxa"/>
          </w:tcPr>
          <w:p>
            <w:pPr>
              <w:widowControl/>
              <w:jc w:val="center"/>
              <w:rPr>
                <w:color w:val="000000"/>
                <w:kern w:val="0"/>
                <w:szCs w:val="21"/>
              </w:rPr>
            </w:pPr>
          </w:p>
        </w:tc>
        <w:tc>
          <w:tcPr>
            <w:tcW w:w="507"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1.6.2.1 </w:t>
            </w:r>
          </w:p>
        </w:tc>
        <w:tc>
          <w:tcPr>
            <w:tcW w:w="4451" w:type="dxa"/>
            <w:vAlign w:val="center"/>
          </w:tcPr>
          <w:p>
            <w:pPr>
              <w:pStyle w:val="16"/>
              <w:widowControl w:val="0"/>
              <w:spacing w:before="156" w:after="156"/>
              <w:jc w:val="both"/>
              <w:rPr>
                <w:rFonts w:ascii="Times New Roman" w:eastAsia="宋体"/>
                <w:color w:val="000000"/>
                <w:kern w:val="2"/>
              </w:rPr>
            </w:pPr>
            <w:r>
              <w:rPr>
                <w:rFonts w:ascii="Times New Roman" w:eastAsia="宋体"/>
              </w:rPr>
              <w:t xml:space="preserve">讲解员应经过专门培训，普通话达标，人数及语种应能满足游客需要。讲解语言规范，讲解服务态度热情，行为有度。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20</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1.6.2.2 </w:t>
            </w:r>
          </w:p>
        </w:tc>
        <w:tc>
          <w:tcPr>
            <w:tcW w:w="4451" w:type="dxa"/>
            <w:vAlign w:val="center"/>
          </w:tcPr>
          <w:p>
            <w:pPr>
              <w:pStyle w:val="24"/>
              <w:widowControl/>
              <w:numPr>
                <w:ilvl w:val="0"/>
                <w:numId w:val="0"/>
              </w:numPr>
              <w:snapToGrid w:val="0"/>
              <w:rPr>
                <w:rFonts w:ascii="Times New Roman" w:eastAsiaTheme="minorEastAsia"/>
                <w:color w:val="000000"/>
                <w:kern w:val="2"/>
                <w:szCs w:val="21"/>
              </w:rPr>
            </w:pPr>
            <w:r>
              <w:rPr>
                <w:rFonts w:ascii="Times New Roman"/>
                <w:szCs w:val="21"/>
              </w:rPr>
              <w:t>应有规范的讲解词，讲解内容科学、准确、生动，能准确说明本工业旅游点（区）的特色，无庸俗、低俗、媚俗内容，无胁迫游客和故意诱导消费行为，能够满足不同层次游客的需求。</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1.6.2.3 </w:t>
            </w:r>
          </w:p>
        </w:tc>
        <w:tc>
          <w:tcPr>
            <w:tcW w:w="4451" w:type="dxa"/>
          </w:tcPr>
          <w:p>
            <w:pPr>
              <w:pStyle w:val="24"/>
              <w:widowControl w:val="0"/>
              <w:ind w:left="0"/>
              <w:rPr>
                <w:rFonts w:ascii="Times New Roman" w:eastAsiaTheme="minorEastAsia"/>
                <w:color w:val="000000"/>
                <w:kern w:val="2"/>
                <w:szCs w:val="21"/>
              </w:rPr>
            </w:pPr>
            <w:r>
              <w:rPr>
                <w:rFonts w:ascii="Times New Roman"/>
                <w:szCs w:val="21"/>
              </w:rPr>
              <w:t>采用标牌解说、印刷品解说、导游解说、语音智能化讲解等多种解说方式；解说语言宜有中外文对照；解说服务和宣传教育功能完善，解说效果良好。</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15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1.7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旅游安全 </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b/>
                <w:bCs/>
                <w:color w:val="000000"/>
                <w:kern w:val="0"/>
                <w:szCs w:val="21"/>
              </w:rPr>
              <w:t>100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b/>
                <w:bCs/>
                <w:kern w:val="0"/>
                <w:szCs w:val="21"/>
              </w:rPr>
              <w:t xml:space="preserve">1.7.1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安全设施及管理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r>
              <w:rPr>
                <w:color w:val="000000"/>
                <w:kern w:val="0"/>
                <w:szCs w:val="21"/>
              </w:rPr>
              <w:t>50</w:t>
            </w: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1.7.1.1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应有健全的安全管理制度和操作规程。应有专门的管理机构和职责明确的专职人员、安全责任人。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1.7.1.2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应有数量足够的消防、防盗、救护、安全监测等设施设备，确保完好、有效；</w:t>
            </w:r>
            <w:r>
              <w:rPr>
                <w:rFonts w:hint="eastAsia" w:ascii="Times New Roman" w:eastAsia="宋体"/>
              </w:rPr>
              <w:t>特种</w:t>
            </w:r>
            <w:r>
              <w:rPr>
                <w:rFonts w:ascii="Times New Roman" w:eastAsia="宋体"/>
              </w:rPr>
              <w:t>设备应</w:t>
            </w:r>
            <w:r>
              <w:rPr>
                <w:rFonts w:hint="eastAsia" w:ascii="Times New Roman" w:eastAsia="宋体"/>
              </w:rPr>
              <w:t>办理使用登记，在检验合格有效期之内，建立健全各项安全管理制度，依法开展日常安全检查和维护保养，作业人员持证上岗。</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1.7.1.3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应急缓冲区和疏散区应设置合理，方便游客疏散。紧急出口应标志明显、畅通无阻。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1.7.1.4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安全标识设置应清晰、醒目，数量充足。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kern w:val="0"/>
                <w:szCs w:val="21"/>
              </w:rPr>
              <w:t xml:space="preserve">1.7.1.5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 xml:space="preserve">宜配置医疗救护点，并配备常用药品。应根据游览环境状况为游客提供必备的防撞、防滑、防绊、防坠落、防炫目、防噪音等防护装备和器具。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r>
              <w:rPr>
                <w:color w:val="000000"/>
                <w:kern w:val="0"/>
                <w:szCs w:val="21"/>
              </w:rPr>
              <w:t>10</w:t>
            </w: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color w:val="000000"/>
                <w:kern w:val="0"/>
                <w:szCs w:val="21"/>
              </w:rPr>
            </w:pPr>
            <w:r>
              <w:rPr>
                <w:b/>
                <w:bCs/>
                <w:kern w:val="0"/>
                <w:szCs w:val="21"/>
              </w:rPr>
              <w:t xml:space="preserve">1.7.2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游览区安全管理 </w:t>
            </w:r>
          </w:p>
        </w:tc>
        <w:tc>
          <w:tcPr>
            <w:tcW w:w="752" w:type="dxa"/>
          </w:tcPr>
          <w:p>
            <w:pPr>
              <w:widowControl/>
              <w:jc w:val="left"/>
              <w:rPr>
                <w:color w:val="000000"/>
                <w:kern w:val="0"/>
                <w:szCs w:val="21"/>
              </w:rPr>
            </w:pPr>
          </w:p>
        </w:tc>
        <w:tc>
          <w:tcPr>
            <w:tcW w:w="797" w:type="dxa"/>
          </w:tcPr>
          <w:p>
            <w:pPr>
              <w:widowControl/>
              <w:jc w:val="center"/>
              <w:rPr>
                <w:color w:val="000000"/>
                <w:kern w:val="0"/>
                <w:szCs w:val="21"/>
              </w:rPr>
            </w:pPr>
          </w:p>
        </w:tc>
        <w:tc>
          <w:tcPr>
            <w:tcW w:w="598" w:type="dxa"/>
          </w:tcPr>
          <w:p>
            <w:pPr>
              <w:widowControl/>
              <w:jc w:val="center"/>
              <w:rPr>
                <w:color w:val="000000"/>
                <w:kern w:val="0"/>
                <w:szCs w:val="21"/>
              </w:rPr>
            </w:pPr>
            <w:r>
              <w:rPr>
                <w:color w:val="000000"/>
                <w:kern w:val="0"/>
                <w:szCs w:val="21"/>
              </w:rPr>
              <w:t>30</w:t>
            </w:r>
          </w:p>
        </w:tc>
        <w:tc>
          <w:tcPr>
            <w:tcW w:w="527" w:type="dxa"/>
          </w:tcPr>
          <w:p>
            <w:pPr>
              <w:widowControl/>
              <w:jc w:val="center"/>
              <w:rPr>
                <w:color w:val="000000"/>
                <w:kern w:val="0"/>
                <w:szCs w:val="21"/>
              </w:rPr>
            </w:pPr>
          </w:p>
        </w:tc>
        <w:tc>
          <w:tcPr>
            <w:tcW w:w="507"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 w:val="24"/>
              </w:rPr>
            </w:pPr>
            <w:r>
              <w:rPr>
                <w:kern w:val="0"/>
                <w:szCs w:val="21"/>
              </w:rPr>
              <w:t xml:space="preserve">1.7.2.1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参观游览前应对游客进行安全教育，为游客配备相应的安全设备及防护设施，生产区域内的游览应有专人引领和指导。 </w:t>
            </w:r>
          </w:p>
        </w:tc>
        <w:tc>
          <w:tcPr>
            <w:tcW w:w="752" w:type="dxa"/>
          </w:tcPr>
          <w:p>
            <w:pPr>
              <w:widowControl/>
              <w:spacing w:line="360" w:lineRule="auto"/>
              <w:jc w:val="left"/>
              <w:rPr>
                <w:color w:val="000000"/>
                <w:kern w:val="0"/>
                <w:sz w:val="24"/>
              </w:rPr>
            </w:pPr>
          </w:p>
        </w:tc>
        <w:tc>
          <w:tcPr>
            <w:tcW w:w="797" w:type="dxa"/>
          </w:tcPr>
          <w:p>
            <w:pPr>
              <w:widowControl/>
              <w:spacing w:line="360" w:lineRule="auto"/>
              <w:jc w:val="center"/>
              <w:rPr>
                <w:color w:val="000000"/>
                <w:kern w:val="0"/>
                <w:sz w:val="24"/>
              </w:rPr>
            </w:pPr>
          </w:p>
        </w:tc>
        <w:tc>
          <w:tcPr>
            <w:tcW w:w="598" w:type="dxa"/>
          </w:tcPr>
          <w:p>
            <w:pPr>
              <w:widowControl/>
              <w:spacing w:line="360" w:lineRule="auto"/>
              <w:jc w:val="center"/>
              <w:rPr>
                <w:color w:val="000000"/>
                <w:kern w:val="0"/>
                <w:sz w:val="24"/>
              </w:rPr>
            </w:pPr>
          </w:p>
        </w:tc>
        <w:tc>
          <w:tcPr>
            <w:tcW w:w="527" w:type="dxa"/>
          </w:tcPr>
          <w:p>
            <w:pPr>
              <w:widowControl/>
              <w:spacing w:line="360" w:lineRule="auto"/>
              <w:jc w:val="center"/>
              <w:rPr>
                <w:color w:val="000000"/>
                <w:kern w:val="0"/>
                <w:sz w:val="24"/>
              </w:rPr>
            </w:pPr>
            <w:r>
              <w:rPr>
                <w:color w:val="000000"/>
                <w:kern w:val="0"/>
                <w:sz w:val="24"/>
              </w:rPr>
              <w:t>10</w:t>
            </w:r>
          </w:p>
        </w:tc>
        <w:tc>
          <w:tcPr>
            <w:tcW w:w="507" w:type="dxa"/>
          </w:tcPr>
          <w:p>
            <w:pPr>
              <w:widowControl/>
              <w:spacing w:line="360" w:lineRule="auto"/>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 w:val="24"/>
              </w:rPr>
            </w:pPr>
            <w:r>
              <w:rPr>
                <w:kern w:val="0"/>
                <w:szCs w:val="21"/>
              </w:rPr>
              <w:t xml:space="preserve">1.7.2.2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参观游览活动不应涉及危险区域，危险或禁入区域应设立明显的警示标志，有物理隔离措施。 </w:t>
            </w:r>
          </w:p>
        </w:tc>
        <w:tc>
          <w:tcPr>
            <w:tcW w:w="752" w:type="dxa"/>
          </w:tcPr>
          <w:p>
            <w:pPr>
              <w:widowControl/>
              <w:spacing w:line="360" w:lineRule="auto"/>
              <w:jc w:val="left"/>
              <w:rPr>
                <w:color w:val="000000"/>
                <w:kern w:val="0"/>
                <w:sz w:val="24"/>
              </w:rPr>
            </w:pPr>
          </w:p>
        </w:tc>
        <w:tc>
          <w:tcPr>
            <w:tcW w:w="797" w:type="dxa"/>
          </w:tcPr>
          <w:p>
            <w:pPr>
              <w:widowControl/>
              <w:spacing w:line="360" w:lineRule="auto"/>
              <w:jc w:val="center"/>
              <w:rPr>
                <w:color w:val="000000"/>
                <w:kern w:val="0"/>
                <w:sz w:val="24"/>
              </w:rPr>
            </w:pPr>
          </w:p>
        </w:tc>
        <w:tc>
          <w:tcPr>
            <w:tcW w:w="598" w:type="dxa"/>
          </w:tcPr>
          <w:p>
            <w:pPr>
              <w:widowControl/>
              <w:spacing w:line="360" w:lineRule="auto"/>
              <w:jc w:val="center"/>
              <w:rPr>
                <w:color w:val="000000"/>
                <w:kern w:val="0"/>
                <w:sz w:val="24"/>
              </w:rPr>
            </w:pPr>
          </w:p>
        </w:tc>
        <w:tc>
          <w:tcPr>
            <w:tcW w:w="527" w:type="dxa"/>
          </w:tcPr>
          <w:p>
            <w:pPr>
              <w:widowControl/>
              <w:spacing w:line="360" w:lineRule="auto"/>
              <w:jc w:val="center"/>
              <w:rPr>
                <w:color w:val="000000"/>
                <w:kern w:val="0"/>
                <w:sz w:val="24"/>
              </w:rPr>
            </w:pPr>
            <w:r>
              <w:rPr>
                <w:color w:val="000000"/>
                <w:kern w:val="0"/>
                <w:sz w:val="24"/>
              </w:rPr>
              <w:t>10</w:t>
            </w:r>
          </w:p>
        </w:tc>
        <w:tc>
          <w:tcPr>
            <w:tcW w:w="507" w:type="dxa"/>
          </w:tcPr>
          <w:p>
            <w:pPr>
              <w:widowControl/>
              <w:spacing w:line="360" w:lineRule="auto"/>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color w:val="000000"/>
                <w:kern w:val="0"/>
                <w:sz w:val="24"/>
              </w:rPr>
            </w:pPr>
            <w:r>
              <w:rPr>
                <w:kern w:val="0"/>
                <w:szCs w:val="21"/>
              </w:rPr>
              <w:t xml:space="preserve">1.7.2.3 </w:t>
            </w:r>
          </w:p>
        </w:tc>
        <w:tc>
          <w:tcPr>
            <w:tcW w:w="4451" w:type="dxa"/>
            <w:vAlign w:val="center"/>
          </w:tcPr>
          <w:p>
            <w:pPr>
              <w:widowControl/>
              <w:snapToGrid w:val="0"/>
              <w:rPr>
                <w:color w:val="000000"/>
                <w:kern w:val="0"/>
                <w:szCs w:val="21"/>
              </w:rPr>
            </w:pPr>
            <w:r>
              <w:rPr>
                <w:kern w:val="0"/>
                <w:szCs w:val="21"/>
              </w:rPr>
              <w:t>具有潜在危险性的活动项目应有切实有效的防范及安全措施，应配有专职安全员。</w:t>
            </w:r>
          </w:p>
        </w:tc>
        <w:tc>
          <w:tcPr>
            <w:tcW w:w="752" w:type="dxa"/>
          </w:tcPr>
          <w:p>
            <w:pPr>
              <w:widowControl/>
              <w:spacing w:line="360" w:lineRule="auto"/>
              <w:jc w:val="left"/>
              <w:rPr>
                <w:color w:val="000000"/>
                <w:kern w:val="0"/>
                <w:sz w:val="24"/>
              </w:rPr>
            </w:pPr>
          </w:p>
        </w:tc>
        <w:tc>
          <w:tcPr>
            <w:tcW w:w="797" w:type="dxa"/>
          </w:tcPr>
          <w:p>
            <w:pPr>
              <w:widowControl/>
              <w:spacing w:line="360" w:lineRule="auto"/>
              <w:jc w:val="center"/>
              <w:rPr>
                <w:color w:val="000000"/>
                <w:kern w:val="0"/>
                <w:sz w:val="24"/>
              </w:rPr>
            </w:pPr>
          </w:p>
        </w:tc>
        <w:tc>
          <w:tcPr>
            <w:tcW w:w="598" w:type="dxa"/>
          </w:tcPr>
          <w:p>
            <w:pPr>
              <w:widowControl/>
              <w:spacing w:line="360" w:lineRule="auto"/>
              <w:jc w:val="center"/>
              <w:rPr>
                <w:color w:val="000000"/>
                <w:kern w:val="0"/>
                <w:sz w:val="24"/>
              </w:rPr>
            </w:pPr>
          </w:p>
        </w:tc>
        <w:tc>
          <w:tcPr>
            <w:tcW w:w="527" w:type="dxa"/>
          </w:tcPr>
          <w:p>
            <w:pPr>
              <w:widowControl/>
              <w:spacing w:line="360" w:lineRule="auto"/>
              <w:jc w:val="center"/>
              <w:rPr>
                <w:color w:val="000000"/>
                <w:kern w:val="0"/>
                <w:sz w:val="24"/>
              </w:rPr>
            </w:pPr>
            <w:r>
              <w:rPr>
                <w:color w:val="000000"/>
                <w:kern w:val="0"/>
                <w:sz w:val="24"/>
              </w:rPr>
              <w:t>10</w:t>
            </w:r>
          </w:p>
        </w:tc>
        <w:tc>
          <w:tcPr>
            <w:tcW w:w="507" w:type="dxa"/>
          </w:tcPr>
          <w:p>
            <w:pPr>
              <w:widowControl/>
              <w:spacing w:line="360" w:lineRule="auto"/>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jc w:val="left"/>
              <w:rPr>
                <w:color w:val="000000"/>
                <w:kern w:val="0"/>
                <w:szCs w:val="21"/>
              </w:rPr>
            </w:pPr>
            <w:r>
              <w:rPr>
                <w:b/>
                <w:bCs/>
                <w:kern w:val="0"/>
                <w:szCs w:val="21"/>
              </w:rPr>
              <w:t xml:space="preserve">1.7.3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b/>
                <w:bCs/>
              </w:rPr>
              <w:t xml:space="preserve">应急救援 </w:t>
            </w:r>
          </w:p>
        </w:tc>
        <w:tc>
          <w:tcPr>
            <w:tcW w:w="752" w:type="dxa"/>
          </w:tcPr>
          <w:p>
            <w:pPr>
              <w:widowControl/>
              <w:jc w:val="left"/>
              <w:rPr>
                <w:color w:val="000000"/>
                <w:kern w:val="0"/>
                <w:szCs w:val="21"/>
              </w:rPr>
            </w:pPr>
          </w:p>
        </w:tc>
        <w:tc>
          <w:tcPr>
            <w:tcW w:w="797" w:type="dxa"/>
          </w:tcPr>
          <w:p>
            <w:pPr>
              <w:widowControl/>
              <w:jc w:val="center"/>
              <w:rPr>
                <w:color w:val="000000"/>
                <w:kern w:val="0"/>
                <w:szCs w:val="21"/>
              </w:rPr>
            </w:pPr>
          </w:p>
        </w:tc>
        <w:tc>
          <w:tcPr>
            <w:tcW w:w="598" w:type="dxa"/>
          </w:tcPr>
          <w:p>
            <w:pPr>
              <w:widowControl/>
              <w:jc w:val="center"/>
              <w:rPr>
                <w:color w:val="000000"/>
                <w:kern w:val="0"/>
                <w:szCs w:val="21"/>
              </w:rPr>
            </w:pPr>
            <w:r>
              <w:rPr>
                <w:color w:val="000000"/>
                <w:kern w:val="0"/>
                <w:szCs w:val="21"/>
              </w:rPr>
              <w:t>20</w:t>
            </w:r>
          </w:p>
        </w:tc>
        <w:tc>
          <w:tcPr>
            <w:tcW w:w="527" w:type="dxa"/>
          </w:tcPr>
          <w:p>
            <w:pPr>
              <w:widowControl/>
              <w:jc w:val="center"/>
              <w:rPr>
                <w:color w:val="000000"/>
                <w:kern w:val="0"/>
                <w:szCs w:val="21"/>
              </w:rPr>
            </w:pPr>
          </w:p>
        </w:tc>
        <w:tc>
          <w:tcPr>
            <w:tcW w:w="507" w:type="dxa"/>
          </w:tcPr>
          <w:p>
            <w:pPr>
              <w:widowControl/>
              <w:jc w:val="left"/>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1.7.3.1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应有切实可行的旅游安全应急预案，应急处理能力强，事故处理及时、档案记录准确；应有经过专业培训的急救人员。</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1.7.3.2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应有应急救援机制，应向游客公布应急救援电话且保证畅通有效。宜与相关单位达成游客伤员运送协议。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1.7.3.3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管理人员应配备应急通讯设备，并保持通讯畅通。发现异常情况或突发事件时，应通过电子显示屏、短信、广播等途径，使用中外文及时向游客发布提示和引导信息。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1.7.3.4 </w:t>
            </w:r>
          </w:p>
        </w:tc>
        <w:tc>
          <w:tcPr>
            <w:tcW w:w="4451" w:type="dxa"/>
            <w:vAlign w:val="center"/>
          </w:tcPr>
          <w:p>
            <w:pPr>
              <w:pStyle w:val="16"/>
              <w:widowControl/>
              <w:snapToGrid w:val="0"/>
              <w:spacing w:beforeLines="0" w:afterLines="0"/>
              <w:jc w:val="both"/>
              <w:rPr>
                <w:rFonts w:ascii="Times New Roman" w:eastAsia="宋体"/>
                <w:color w:val="000000"/>
                <w:kern w:val="2"/>
              </w:rPr>
            </w:pPr>
            <w:r>
              <w:rPr>
                <w:rFonts w:ascii="Times New Roman" w:eastAsia="宋体"/>
              </w:rPr>
              <w:t>应在游览区内重要部位进行电子监控和录像，录像资料应保存一个月以上。</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p>
        </w:tc>
        <w:tc>
          <w:tcPr>
            <w:tcW w:w="527" w:type="dxa"/>
            <w:vAlign w:val="center"/>
          </w:tcPr>
          <w:p>
            <w:pPr>
              <w:widowControl/>
              <w:spacing w:line="360" w:lineRule="auto"/>
              <w:jc w:val="center"/>
              <w:rPr>
                <w:color w:val="000000"/>
                <w:kern w:val="0"/>
                <w:sz w:val="24"/>
              </w:rPr>
            </w:pPr>
            <w:r>
              <w:rPr>
                <w:color w:val="000000"/>
                <w:kern w:val="0"/>
                <w:sz w:val="24"/>
              </w:rPr>
              <w:t>5</w:t>
            </w: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1.8 </w:t>
            </w:r>
          </w:p>
        </w:tc>
        <w:tc>
          <w:tcPr>
            <w:tcW w:w="4451" w:type="dxa"/>
            <w:vAlign w:val="center"/>
          </w:tcPr>
          <w:p>
            <w:pPr>
              <w:pStyle w:val="16"/>
              <w:widowControl/>
              <w:snapToGrid w:val="0"/>
              <w:spacing w:beforeLines="0" w:afterLines="0"/>
              <w:jc w:val="both"/>
              <w:rPr>
                <w:rFonts w:ascii="Times New Roman" w:eastAsia="宋体"/>
                <w:b/>
                <w:bCs/>
                <w:color w:val="000000"/>
              </w:rPr>
            </w:pPr>
            <w:r>
              <w:rPr>
                <w:rFonts w:ascii="Times New Roman" w:eastAsia="宋体"/>
                <w:b/>
                <w:bCs/>
              </w:rPr>
              <w:t xml:space="preserve">旅游智慧化 </w:t>
            </w:r>
          </w:p>
        </w:tc>
        <w:tc>
          <w:tcPr>
            <w:tcW w:w="752" w:type="dxa"/>
            <w:vAlign w:val="center"/>
          </w:tcPr>
          <w:p>
            <w:pPr>
              <w:widowControl/>
              <w:rPr>
                <w:b/>
                <w:bCs/>
                <w:color w:val="000000"/>
                <w:kern w:val="0"/>
                <w:szCs w:val="21"/>
              </w:rPr>
            </w:pPr>
          </w:p>
        </w:tc>
        <w:tc>
          <w:tcPr>
            <w:tcW w:w="797" w:type="dxa"/>
            <w:vAlign w:val="center"/>
          </w:tcPr>
          <w:p>
            <w:pPr>
              <w:widowControl/>
              <w:rPr>
                <w:b/>
                <w:bCs/>
                <w:color w:val="000000"/>
                <w:kern w:val="0"/>
                <w:szCs w:val="21"/>
              </w:rPr>
            </w:pPr>
            <w:r>
              <w:rPr>
                <w:rFonts w:hint="eastAsia"/>
                <w:b/>
                <w:bCs/>
                <w:color w:val="000000"/>
                <w:kern w:val="0"/>
                <w:szCs w:val="21"/>
              </w:rPr>
              <w:t>50</w:t>
            </w:r>
          </w:p>
        </w:tc>
        <w:tc>
          <w:tcPr>
            <w:tcW w:w="598" w:type="dxa"/>
            <w:vAlign w:val="center"/>
          </w:tcPr>
          <w:p>
            <w:pPr>
              <w:widowControl/>
              <w:rPr>
                <w:b/>
                <w:bCs/>
                <w:color w:val="000000"/>
                <w:kern w:val="0"/>
                <w:szCs w:val="21"/>
              </w:rPr>
            </w:pPr>
          </w:p>
        </w:tc>
        <w:tc>
          <w:tcPr>
            <w:tcW w:w="527" w:type="dxa"/>
            <w:vAlign w:val="center"/>
          </w:tcPr>
          <w:p>
            <w:pPr>
              <w:widowControl/>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rFonts w:hint="eastAsia"/>
                <w:kern w:val="0"/>
                <w:szCs w:val="21"/>
              </w:rPr>
              <w:t>1</w:t>
            </w:r>
            <w:r>
              <w:rPr>
                <w:kern w:val="0"/>
                <w:szCs w:val="21"/>
              </w:rPr>
              <w:t xml:space="preserve">.8.1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有独立网站或新媒体平台，能供游客及时查询旅游信息，能定期维护，及时更新内容。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1</w:t>
            </w:r>
            <w:r>
              <w:rPr>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rFonts w:hint="eastAsia"/>
                <w:kern w:val="0"/>
                <w:szCs w:val="21"/>
              </w:rPr>
              <w:t>1</w:t>
            </w:r>
            <w:r>
              <w:rPr>
                <w:kern w:val="0"/>
                <w:szCs w:val="21"/>
              </w:rPr>
              <w:t xml:space="preserve">.8.2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手机信号应覆盖游客可游览区域，免费无线局域网覆盖游客中心及主要游客聚集区。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rFonts w:hint="eastAsia"/>
                <w:kern w:val="0"/>
                <w:szCs w:val="21"/>
              </w:rPr>
              <w:t>1</w:t>
            </w:r>
            <w:r>
              <w:rPr>
                <w:kern w:val="0"/>
                <w:szCs w:val="21"/>
              </w:rPr>
              <w:t xml:space="preserve">.8.3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游客游览的主要区域和重要节点应安装视频监控设备，能有效支持客流数据采集和安全监测。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1</w:t>
            </w:r>
            <w:r>
              <w:rPr>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rFonts w:hint="eastAsia"/>
                <w:kern w:val="0"/>
                <w:szCs w:val="21"/>
              </w:rPr>
              <w:t>1</w:t>
            </w:r>
            <w:r>
              <w:rPr>
                <w:kern w:val="0"/>
                <w:szCs w:val="21"/>
              </w:rPr>
              <w:t xml:space="preserve">.8.4 </w:t>
            </w:r>
          </w:p>
        </w:tc>
        <w:tc>
          <w:tcPr>
            <w:tcW w:w="4451" w:type="dxa"/>
            <w:vAlign w:val="center"/>
          </w:tcPr>
          <w:p>
            <w:pPr>
              <w:pStyle w:val="16"/>
              <w:widowControl/>
              <w:snapToGrid w:val="0"/>
              <w:spacing w:beforeLines="0" w:afterLines="0"/>
              <w:jc w:val="both"/>
              <w:rPr>
                <w:rFonts w:ascii="Times New Roman" w:eastAsia="宋体"/>
                <w:color w:val="000000"/>
              </w:rPr>
            </w:pPr>
            <w:r>
              <w:rPr>
                <w:rFonts w:ascii="Times New Roman" w:eastAsia="宋体"/>
              </w:rPr>
              <w:t xml:space="preserve">开展网络营销或自媒体营销，提供在线旅游预订、在线交易、网上支付及移动端支付服务。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1</w:t>
            </w:r>
            <w:r>
              <w:rPr>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rFonts w:hint="eastAsia"/>
                <w:kern w:val="0"/>
                <w:szCs w:val="21"/>
              </w:rPr>
              <w:t>1</w:t>
            </w:r>
            <w:r>
              <w:rPr>
                <w:kern w:val="0"/>
                <w:szCs w:val="21"/>
              </w:rPr>
              <w:t xml:space="preserve">.8.5 </w:t>
            </w:r>
          </w:p>
        </w:tc>
        <w:tc>
          <w:tcPr>
            <w:tcW w:w="4451" w:type="dxa"/>
            <w:vAlign w:val="center"/>
          </w:tcPr>
          <w:p>
            <w:pPr>
              <w:pStyle w:val="16"/>
              <w:widowControl/>
              <w:spacing w:beforeLines="0" w:afterLines="0"/>
              <w:jc w:val="both"/>
              <w:rPr>
                <w:rFonts w:ascii="Times New Roman" w:eastAsia="宋体"/>
                <w:color w:val="000000"/>
                <w:kern w:val="2"/>
              </w:rPr>
            </w:pPr>
            <w:r>
              <w:rPr>
                <w:rFonts w:ascii="Times New Roman" w:eastAsia="宋体"/>
              </w:rPr>
              <w:t xml:space="preserve">使用虚拟现实（VR）、增强现实（AR）等电子技术手段丰富游客体验。 </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1.9 </w:t>
            </w:r>
          </w:p>
        </w:tc>
        <w:tc>
          <w:tcPr>
            <w:tcW w:w="4451" w:type="dxa"/>
            <w:vAlign w:val="center"/>
          </w:tcPr>
          <w:p>
            <w:pPr>
              <w:pStyle w:val="16"/>
              <w:widowControl/>
              <w:spacing w:beforeLines="0" w:afterLines="0"/>
              <w:jc w:val="both"/>
              <w:rPr>
                <w:rFonts w:ascii="Times New Roman" w:eastAsia="宋体"/>
                <w:b/>
                <w:bCs/>
                <w:color w:val="000000"/>
              </w:rPr>
            </w:pPr>
            <w:r>
              <w:rPr>
                <w:rFonts w:ascii="Times New Roman" w:eastAsia="宋体"/>
                <w:b/>
                <w:bCs/>
              </w:rPr>
              <w:t>文化特色</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b/>
                <w:bCs/>
                <w:color w:val="000000"/>
                <w:kern w:val="0"/>
                <w:szCs w:val="21"/>
              </w:rPr>
              <w:t>1</w:t>
            </w:r>
            <w:r>
              <w:rPr>
                <w:rFonts w:hint="eastAsia"/>
                <w:b/>
                <w:bCs/>
                <w:color w:val="000000"/>
                <w:kern w:val="0"/>
                <w:szCs w:val="21"/>
              </w:rPr>
              <w:t>0</w:t>
            </w:r>
            <w:r>
              <w:rPr>
                <w:b/>
                <w:bCs/>
                <w:color w:val="000000"/>
                <w:kern w:val="0"/>
                <w:szCs w:val="21"/>
              </w:rPr>
              <w:t>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1.9.1</w:t>
            </w:r>
          </w:p>
        </w:tc>
        <w:tc>
          <w:tcPr>
            <w:tcW w:w="4451" w:type="dxa"/>
            <w:vAlign w:val="center"/>
          </w:tcPr>
          <w:p>
            <w:pPr>
              <w:pStyle w:val="24"/>
              <w:widowControl/>
              <w:numPr>
                <w:ilvl w:val="0"/>
                <w:numId w:val="0"/>
              </w:numPr>
              <w:rPr>
                <w:rFonts w:ascii="Times New Roman" w:eastAsiaTheme="minorEastAsia"/>
                <w:color w:val="000000"/>
                <w:kern w:val="2"/>
                <w:szCs w:val="21"/>
              </w:rPr>
            </w:pPr>
            <w:r>
              <w:rPr>
                <w:rFonts w:ascii="Times New Roman"/>
                <w:szCs w:val="21"/>
              </w:rPr>
              <w:t>有一定的工业文化内涵和文化主题，并体现在游览项目和游览活动过程中。</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30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1.9.2 </w:t>
            </w:r>
          </w:p>
        </w:tc>
        <w:tc>
          <w:tcPr>
            <w:tcW w:w="4451" w:type="dxa"/>
            <w:vAlign w:val="center"/>
          </w:tcPr>
          <w:p>
            <w:pPr>
              <w:pStyle w:val="24"/>
              <w:widowControl/>
              <w:numPr>
                <w:ilvl w:val="0"/>
                <w:numId w:val="0"/>
              </w:numPr>
              <w:rPr>
                <w:rFonts w:ascii="Times New Roman"/>
                <w:color w:val="000000"/>
                <w:szCs w:val="21"/>
              </w:rPr>
            </w:pPr>
            <w:r>
              <w:rPr>
                <w:rFonts w:ascii="Times New Roman"/>
                <w:szCs w:val="21"/>
              </w:rPr>
              <w:t>工业文化在本市有一定特色，或具有一定的文化创意水准。</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2</w:t>
            </w:r>
            <w:r>
              <w:rPr>
                <w:rFonts w:hint="eastAsia"/>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1.9.3 </w:t>
            </w:r>
          </w:p>
        </w:tc>
        <w:tc>
          <w:tcPr>
            <w:tcW w:w="4451" w:type="dxa"/>
            <w:vAlign w:val="center"/>
          </w:tcPr>
          <w:p>
            <w:pPr>
              <w:pStyle w:val="24"/>
              <w:widowControl/>
              <w:numPr>
                <w:ilvl w:val="0"/>
                <w:numId w:val="0"/>
              </w:numPr>
              <w:rPr>
                <w:rFonts w:ascii="Times New Roman"/>
                <w:color w:val="000000"/>
                <w:szCs w:val="21"/>
              </w:rPr>
            </w:pPr>
            <w:r>
              <w:rPr>
                <w:rFonts w:ascii="Times New Roman"/>
                <w:szCs w:val="21"/>
              </w:rPr>
              <w:t>工业文化内涵得到初步挖掘和展示，能通过景观、实物、图片、活动等多种方式展示文化，主要建筑和游览设施有一定的文化个性。</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2</w:t>
            </w:r>
            <w:r>
              <w:rPr>
                <w:rFonts w:hint="eastAsia"/>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1.9.4 </w:t>
            </w:r>
          </w:p>
        </w:tc>
        <w:tc>
          <w:tcPr>
            <w:tcW w:w="4451" w:type="dxa"/>
            <w:vAlign w:val="center"/>
          </w:tcPr>
          <w:p>
            <w:pPr>
              <w:pStyle w:val="24"/>
              <w:widowControl/>
              <w:numPr>
                <w:ilvl w:val="0"/>
                <w:numId w:val="0"/>
              </w:numPr>
              <w:rPr>
                <w:rFonts w:ascii="Times New Roman"/>
                <w:color w:val="000000"/>
                <w:szCs w:val="21"/>
              </w:rPr>
            </w:pPr>
            <w:r>
              <w:rPr>
                <w:rFonts w:ascii="Times New Roman"/>
                <w:szCs w:val="21"/>
              </w:rPr>
              <w:t>工业旅游产品或工业文化旅游活动能基本满足游客需要，体验效果良好。</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15</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1.9.5 </w:t>
            </w:r>
          </w:p>
        </w:tc>
        <w:tc>
          <w:tcPr>
            <w:tcW w:w="4451" w:type="dxa"/>
            <w:vAlign w:val="center"/>
          </w:tcPr>
          <w:p>
            <w:pPr>
              <w:pStyle w:val="24"/>
              <w:widowControl/>
              <w:numPr>
                <w:ilvl w:val="0"/>
                <w:numId w:val="0"/>
              </w:numPr>
              <w:rPr>
                <w:rFonts w:ascii="Times New Roman" w:eastAsiaTheme="minorEastAsia"/>
                <w:color w:val="000000"/>
                <w:kern w:val="2"/>
                <w:szCs w:val="21"/>
              </w:rPr>
            </w:pPr>
            <w:r>
              <w:rPr>
                <w:rFonts w:ascii="Times New Roman"/>
                <w:szCs w:val="21"/>
              </w:rPr>
              <w:t>在弘扬中华优秀工业文化，开展爱国主义教育和践行社会主义核心价值观方面，或在履行社会责任，组织或参加公益性活动等方面发挥一定的作用。</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15</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b/>
                <w:bCs/>
                <w:color w:val="000000"/>
                <w:kern w:val="0"/>
                <w:szCs w:val="21"/>
              </w:rPr>
            </w:pPr>
            <w:r>
              <w:rPr>
                <w:b/>
                <w:bCs/>
                <w:kern w:val="0"/>
                <w:szCs w:val="21"/>
              </w:rPr>
              <w:t xml:space="preserve">1.10 </w:t>
            </w:r>
          </w:p>
        </w:tc>
        <w:tc>
          <w:tcPr>
            <w:tcW w:w="4451" w:type="dxa"/>
            <w:vAlign w:val="center"/>
          </w:tcPr>
          <w:p>
            <w:pPr>
              <w:pStyle w:val="16"/>
              <w:widowControl/>
              <w:spacing w:beforeLines="0" w:afterLines="0"/>
              <w:jc w:val="both"/>
              <w:rPr>
                <w:rFonts w:ascii="Times New Roman" w:eastAsia="宋体"/>
                <w:b/>
                <w:bCs/>
                <w:color w:val="000000"/>
              </w:rPr>
            </w:pPr>
            <w:r>
              <w:rPr>
                <w:rFonts w:ascii="Times New Roman" w:eastAsia="宋体"/>
                <w:b/>
                <w:bCs/>
              </w:rPr>
              <w:t>综合管理</w:t>
            </w:r>
          </w:p>
        </w:tc>
        <w:tc>
          <w:tcPr>
            <w:tcW w:w="752" w:type="dxa"/>
            <w:vAlign w:val="center"/>
          </w:tcPr>
          <w:p>
            <w:pPr>
              <w:widowControl/>
              <w:rPr>
                <w:b/>
                <w:bCs/>
                <w:color w:val="000000"/>
                <w:kern w:val="0"/>
                <w:szCs w:val="21"/>
              </w:rPr>
            </w:pPr>
          </w:p>
        </w:tc>
        <w:tc>
          <w:tcPr>
            <w:tcW w:w="797" w:type="dxa"/>
            <w:vAlign w:val="center"/>
          </w:tcPr>
          <w:p>
            <w:pPr>
              <w:widowControl/>
              <w:jc w:val="center"/>
              <w:rPr>
                <w:b/>
                <w:bCs/>
                <w:color w:val="000000"/>
                <w:kern w:val="0"/>
                <w:szCs w:val="21"/>
              </w:rPr>
            </w:pPr>
            <w:r>
              <w:rPr>
                <w:rFonts w:hint="eastAsia"/>
                <w:b/>
                <w:bCs/>
                <w:color w:val="000000"/>
                <w:kern w:val="0"/>
                <w:szCs w:val="21"/>
              </w:rPr>
              <w:t>7</w:t>
            </w:r>
            <w:r>
              <w:rPr>
                <w:b/>
                <w:bCs/>
                <w:color w:val="000000"/>
                <w:kern w:val="0"/>
                <w:szCs w:val="21"/>
              </w:rPr>
              <w:t>0</w:t>
            </w:r>
          </w:p>
        </w:tc>
        <w:tc>
          <w:tcPr>
            <w:tcW w:w="598" w:type="dxa"/>
            <w:vAlign w:val="center"/>
          </w:tcPr>
          <w:p>
            <w:pPr>
              <w:widowControl/>
              <w:jc w:val="center"/>
              <w:rPr>
                <w:b/>
                <w:bCs/>
                <w:color w:val="000000"/>
                <w:kern w:val="0"/>
                <w:szCs w:val="21"/>
              </w:rPr>
            </w:pPr>
          </w:p>
        </w:tc>
        <w:tc>
          <w:tcPr>
            <w:tcW w:w="527" w:type="dxa"/>
            <w:vAlign w:val="center"/>
          </w:tcPr>
          <w:p>
            <w:pPr>
              <w:widowControl/>
              <w:jc w:val="center"/>
              <w:rPr>
                <w:b/>
                <w:bCs/>
                <w:color w:val="000000"/>
                <w:kern w:val="0"/>
                <w:szCs w:val="21"/>
              </w:rPr>
            </w:pPr>
          </w:p>
        </w:tc>
        <w:tc>
          <w:tcPr>
            <w:tcW w:w="507" w:type="dxa"/>
            <w:vAlign w:val="center"/>
          </w:tcPr>
          <w:p>
            <w:pPr>
              <w:widowControl/>
              <w:rPr>
                <w:b/>
                <w:bCs/>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1.10.1 </w:t>
            </w:r>
          </w:p>
        </w:tc>
        <w:tc>
          <w:tcPr>
            <w:tcW w:w="4451" w:type="dxa"/>
            <w:vAlign w:val="center"/>
          </w:tcPr>
          <w:p>
            <w:pPr>
              <w:pStyle w:val="19"/>
              <w:widowControl/>
              <w:jc w:val="both"/>
              <w:rPr>
                <w:rFonts w:ascii="Times New Roman"/>
                <w:color w:val="000000"/>
                <w:kern w:val="2"/>
              </w:rPr>
            </w:pPr>
            <w:r>
              <w:rPr>
                <w:rFonts w:ascii="Times New Roman"/>
              </w:rPr>
              <w:t>工业旅游点（区）内项目开发建设项目应符合相关规划要求。</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15</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1.10.2</w:t>
            </w:r>
          </w:p>
        </w:tc>
        <w:tc>
          <w:tcPr>
            <w:tcW w:w="4451" w:type="dxa"/>
            <w:vAlign w:val="center"/>
          </w:tcPr>
          <w:p>
            <w:pPr>
              <w:pStyle w:val="19"/>
              <w:widowControl/>
              <w:jc w:val="both"/>
              <w:rPr>
                <w:rFonts w:ascii="Times New Roman"/>
                <w:color w:val="000000"/>
              </w:rPr>
            </w:pPr>
            <w:r>
              <w:rPr>
                <w:rFonts w:ascii="Times New Roman"/>
              </w:rPr>
              <w:t>管理体制健全，管理人员配备合理，70%以上中高级以上管理人员均具备大学以上文化程度，经营机制有效。培训制度明确，业务培训较全面，效果良好，上岗人员培训合格率达100%。</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rFonts w:hint="eastAsia"/>
                <w:color w:val="000000"/>
                <w:kern w:val="0"/>
                <w:sz w:val="24"/>
              </w:rPr>
              <w:t>15</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1.10.3 </w:t>
            </w:r>
          </w:p>
        </w:tc>
        <w:tc>
          <w:tcPr>
            <w:tcW w:w="4451" w:type="dxa"/>
            <w:vAlign w:val="center"/>
          </w:tcPr>
          <w:p>
            <w:pPr>
              <w:pStyle w:val="19"/>
              <w:widowControl/>
              <w:jc w:val="both"/>
              <w:rPr>
                <w:rFonts w:ascii="Times New Roman"/>
                <w:color w:val="000000"/>
              </w:rPr>
            </w:pPr>
            <w:r>
              <w:rPr>
                <w:rFonts w:ascii="Times New Roman"/>
              </w:rPr>
              <w:t>旅游质量、旅游安全、资源与环境保护、旅游统计等各项经营管理制度健全有效，贯彻措施得力，定期监督检查，有完整的书面记录和总结。</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1.10.4 </w:t>
            </w:r>
          </w:p>
        </w:tc>
        <w:tc>
          <w:tcPr>
            <w:tcW w:w="4451" w:type="dxa"/>
            <w:vAlign w:val="center"/>
          </w:tcPr>
          <w:p>
            <w:pPr>
              <w:pStyle w:val="19"/>
              <w:widowControl w:val="0"/>
              <w:jc w:val="both"/>
              <w:rPr>
                <w:rFonts w:ascii="Times New Roman"/>
                <w:color w:val="000000"/>
                <w:kern w:val="2"/>
              </w:rPr>
            </w:pPr>
            <w:r>
              <w:rPr>
                <w:rFonts w:ascii="Times New Roman"/>
              </w:rPr>
              <w:t>应履行旅游统计调查制度，按要求报送各项相关统计数据和信息，确保数据的真实性和准确性。</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w:t>
            </w:r>
            <w:r>
              <w:rPr>
                <w:rFonts w:hint="eastAsia"/>
                <w:color w:val="000000"/>
                <w:kern w:val="0"/>
                <w:sz w:val="24"/>
              </w:rPr>
              <w:t>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1.10.5 </w:t>
            </w:r>
          </w:p>
        </w:tc>
        <w:tc>
          <w:tcPr>
            <w:tcW w:w="4451" w:type="dxa"/>
            <w:vAlign w:val="center"/>
          </w:tcPr>
          <w:p>
            <w:pPr>
              <w:pStyle w:val="24"/>
              <w:widowControl/>
              <w:numPr>
                <w:ilvl w:val="0"/>
                <w:numId w:val="0"/>
              </w:numPr>
              <w:rPr>
                <w:rFonts w:ascii="Times New Roman"/>
                <w:color w:val="000000"/>
                <w:szCs w:val="21"/>
              </w:rPr>
            </w:pPr>
            <w:r>
              <w:rPr>
                <w:rFonts w:ascii="Times New Roman"/>
                <w:szCs w:val="21"/>
              </w:rPr>
              <w:t>有旅游质量监管制度和措施，投诉制度健全，人员与设备落实，投诉受理及时，处理较为妥善，档案记录完整。</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pacing w:line="360" w:lineRule="auto"/>
              <w:rPr>
                <w:color w:val="000000"/>
                <w:kern w:val="0"/>
                <w:sz w:val="24"/>
              </w:rPr>
            </w:pPr>
            <w:r>
              <w:rPr>
                <w:kern w:val="0"/>
                <w:szCs w:val="21"/>
              </w:rPr>
              <w:t xml:space="preserve">1.10.6 </w:t>
            </w:r>
          </w:p>
        </w:tc>
        <w:tc>
          <w:tcPr>
            <w:tcW w:w="4451" w:type="dxa"/>
            <w:vAlign w:val="center"/>
          </w:tcPr>
          <w:p>
            <w:pPr>
              <w:pStyle w:val="24"/>
              <w:widowControl/>
              <w:numPr>
                <w:ilvl w:val="0"/>
                <w:numId w:val="0"/>
              </w:numPr>
              <w:rPr>
                <w:rFonts w:ascii="Times New Roman" w:eastAsiaTheme="minorEastAsia"/>
                <w:color w:val="000000"/>
                <w:kern w:val="2"/>
                <w:szCs w:val="21"/>
              </w:rPr>
            </w:pPr>
            <w:r>
              <w:rPr>
                <w:rFonts w:ascii="Times New Roman"/>
                <w:szCs w:val="21"/>
              </w:rPr>
              <w:t>具有明确的价值观念和经营方针，产品形象、质量形象、视觉形象和员工形象良好。</w:t>
            </w:r>
          </w:p>
        </w:tc>
        <w:tc>
          <w:tcPr>
            <w:tcW w:w="752" w:type="dxa"/>
            <w:vAlign w:val="center"/>
          </w:tcPr>
          <w:p>
            <w:pPr>
              <w:widowControl/>
              <w:spacing w:line="360" w:lineRule="auto"/>
              <w:rPr>
                <w:color w:val="000000"/>
                <w:kern w:val="0"/>
                <w:sz w:val="24"/>
              </w:rPr>
            </w:pPr>
          </w:p>
        </w:tc>
        <w:tc>
          <w:tcPr>
            <w:tcW w:w="797" w:type="dxa"/>
            <w:vAlign w:val="center"/>
          </w:tcPr>
          <w:p>
            <w:pPr>
              <w:widowControl/>
              <w:spacing w:line="360" w:lineRule="auto"/>
              <w:jc w:val="center"/>
              <w:rPr>
                <w:color w:val="000000"/>
                <w:kern w:val="0"/>
                <w:sz w:val="24"/>
              </w:rPr>
            </w:pPr>
          </w:p>
        </w:tc>
        <w:tc>
          <w:tcPr>
            <w:tcW w:w="598" w:type="dxa"/>
            <w:vAlign w:val="center"/>
          </w:tcPr>
          <w:p>
            <w:pPr>
              <w:widowControl/>
              <w:spacing w:line="360" w:lineRule="auto"/>
              <w:jc w:val="center"/>
              <w:rPr>
                <w:color w:val="000000"/>
                <w:kern w:val="0"/>
                <w:sz w:val="24"/>
              </w:rPr>
            </w:pPr>
            <w:r>
              <w:rPr>
                <w:color w:val="000000"/>
                <w:kern w:val="0"/>
                <w:sz w:val="24"/>
              </w:rPr>
              <w:t>10</w:t>
            </w:r>
          </w:p>
        </w:tc>
        <w:tc>
          <w:tcPr>
            <w:tcW w:w="527" w:type="dxa"/>
            <w:vAlign w:val="center"/>
          </w:tcPr>
          <w:p>
            <w:pPr>
              <w:widowControl/>
              <w:spacing w:line="360" w:lineRule="auto"/>
              <w:jc w:val="center"/>
              <w:rPr>
                <w:color w:val="000000"/>
                <w:kern w:val="0"/>
                <w:sz w:val="24"/>
              </w:rPr>
            </w:pPr>
          </w:p>
        </w:tc>
        <w:tc>
          <w:tcPr>
            <w:tcW w:w="507" w:type="dxa"/>
            <w:vAlign w:val="center"/>
          </w:tcPr>
          <w:p>
            <w:pPr>
              <w:widowControl/>
              <w:spacing w:line="360" w:lineRule="auto"/>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snapToGrid w:val="0"/>
              <w:rPr>
                <w:rFonts w:eastAsia="黑体"/>
                <w:b/>
                <w:color w:val="000000"/>
                <w:kern w:val="0"/>
                <w:sz w:val="24"/>
              </w:rPr>
            </w:pPr>
            <w:r>
              <w:rPr>
                <w:rFonts w:eastAsia="黑体"/>
                <w:b/>
                <w:color w:val="000000"/>
                <w:kern w:val="0"/>
                <w:sz w:val="24"/>
              </w:rPr>
              <w:t>2</w:t>
            </w:r>
          </w:p>
        </w:tc>
        <w:tc>
          <w:tcPr>
            <w:tcW w:w="4451" w:type="dxa"/>
            <w:vAlign w:val="center"/>
          </w:tcPr>
          <w:p>
            <w:pPr>
              <w:pStyle w:val="16"/>
              <w:widowControl/>
              <w:snapToGrid w:val="0"/>
              <w:spacing w:beforeLines="0" w:afterLines="0"/>
              <w:jc w:val="both"/>
              <w:rPr>
                <w:rFonts w:ascii="Times New Roman"/>
                <w:b/>
                <w:color w:val="000000"/>
                <w:sz w:val="24"/>
                <w:szCs w:val="24"/>
              </w:rPr>
            </w:pPr>
            <w:r>
              <w:rPr>
                <w:rFonts w:ascii="Times New Roman"/>
                <w:b/>
                <w:color w:val="000000"/>
                <w:sz w:val="24"/>
                <w:szCs w:val="24"/>
              </w:rPr>
              <w:t>附加项目</w:t>
            </w:r>
          </w:p>
        </w:tc>
        <w:tc>
          <w:tcPr>
            <w:tcW w:w="752" w:type="dxa"/>
            <w:vAlign w:val="center"/>
          </w:tcPr>
          <w:p>
            <w:pPr>
              <w:widowControl/>
              <w:spacing w:line="360" w:lineRule="auto"/>
              <w:rPr>
                <w:rFonts w:eastAsia="黑体"/>
                <w:b/>
                <w:color w:val="000000"/>
                <w:kern w:val="0"/>
                <w:sz w:val="24"/>
              </w:rPr>
            </w:pPr>
            <w:r>
              <w:rPr>
                <w:rFonts w:eastAsia="黑体"/>
                <w:b/>
                <w:color w:val="000000"/>
                <w:kern w:val="0"/>
                <w:sz w:val="24"/>
              </w:rPr>
              <w:t>200</w:t>
            </w:r>
          </w:p>
        </w:tc>
        <w:tc>
          <w:tcPr>
            <w:tcW w:w="797" w:type="dxa"/>
            <w:vAlign w:val="center"/>
          </w:tcPr>
          <w:p>
            <w:pPr>
              <w:widowControl/>
              <w:spacing w:line="360" w:lineRule="auto"/>
              <w:jc w:val="center"/>
              <w:rPr>
                <w:rFonts w:eastAsia="黑体"/>
                <w:b/>
                <w:color w:val="000000"/>
                <w:kern w:val="0"/>
                <w:sz w:val="24"/>
              </w:rPr>
            </w:pPr>
          </w:p>
        </w:tc>
        <w:tc>
          <w:tcPr>
            <w:tcW w:w="598" w:type="dxa"/>
            <w:vAlign w:val="center"/>
          </w:tcPr>
          <w:p>
            <w:pPr>
              <w:widowControl/>
              <w:spacing w:line="360" w:lineRule="auto"/>
              <w:jc w:val="center"/>
              <w:rPr>
                <w:rFonts w:eastAsia="黑体"/>
                <w:b/>
                <w:color w:val="000000"/>
                <w:kern w:val="0"/>
                <w:sz w:val="24"/>
              </w:rPr>
            </w:pPr>
          </w:p>
        </w:tc>
        <w:tc>
          <w:tcPr>
            <w:tcW w:w="527" w:type="dxa"/>
            <w:vAlign w:val="center"/>
          </w:tcPr>
          <w:p>
            <w:pPr>
              <w:widowControl/>
              <w:spacing w:line="360" w:lineRule="auto"/>
              <w:jc w:val="center"/>
              <w:rPr>
                <w:rFonts w:eastAsia="黑体"/>
                <w:b/>
                <w:color w:val="000000"/>
                <w:kern w:val="0"/>
                <w:sz w:val="24"/>
              </w:rPr>
            </w:pPr>
          </w:p>
        </w:tc>
        <w:tc>
          <w:tcPr>
            <w:tcW w:w="507" w:type="dxa"/>
            <w:vAlign w:val="center"/>
          </w:tcPr>
          <w:p>
            <w:pPr>
              <w:widowControl/>
              <w:spacing w:line="360" w:lineRule="auto"/>
              <w:rPr>
                <w:rFonts w:eastAsia="黑体"/>
                <w:b/>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2.1 </w:t>
            </w:r>
          </w:p>
        </w:tc>
        <w:tc>
          <w:tcPr>
            <w:tcW w:w="4451" w:type="dxa"/>
            <w:vAlign w:val="center"/>
          </w:tcPr>
          <w:p>
            <w:pPr>
              <w:widowControl/>
              <w:rPr>
                <w:color w:val="000000"/>
                <w:kern w:val="0"/>
                <w:szCs w:val="21"/>
              </w:rPr>
            </w:pPr>
            <w:r>
              <w:rPr>
                <w:color w:val="000000"/>
                <w:kern w:val="0"/>
                <w:szCs w:val="21"/>
              </w:rPr>
              <w:t xml:space="preserve">申报主体或集聚区获得国家级荣誉称号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25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2.2 </w:t>
            </w:r>
          </w:p>
        </w:tc>
        <w:tc>
          <w:tcPr>
            <w:tcW w:w="4451" w:type="dxa"/>
            <w:vAlign w:val="center"/>
          </w:tcPr>
          <w:p>
            <w:pPr>
              <w:rPr>
                <w:color w:val="000000"/>
                <w:kern w:val="0"/>
                <w:szCs w:val="21"/>
              </w:rPr>
            </w:pPr>
            <w:r>
              <w:rPr>
                <w:color w:val="000000"/>
                <w:kern w:val="0"/>
                <w:szCs w:val="21"/>
              </w:rPr>
              <w:t xml:space="preserve">申报主体或集聚区获得省级荣誉称号 </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15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2.3 </w:t>
            </w:r>
          </w:p>
        </w:tc>
        <w:tc>
          <w:tcPr>
            <w:tcW w:w="4451" w:type="dxa"/>
            <w:vAlign w:val="center"/>
          </w:tcPr>
          <w:p>
            <w:pPr>
              <w:rPr>
                <w:color w:val="000000"/>
                <w:kern w:val="0"/>
                <w:szCs w:val="21"/>
              </w:rPr>
            </w:pPr>
            <w:r>
              <w:rPr>
                <w:color w:val="000000"/>
                <w:kern w:val="0"/>
                <w:szCs w:val="21"/>
              </w:rPr>
              <w:t>申报主体或集聚区员工获得国家级个人荣誉称号</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25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2.4 </w:t>
            </w:r>
          </w:p>
        </w:tc>
        <w:tc>
          <w:tcPr>
            <w:tcW w:w="4451" w:type="dxa"/>
            <w:vAlign w:val="center"/>
          </w:tcPr>
          <w:p>
            <w:pPr>
              <w:rPr>
                <w:color w:val="000000"/>
                <w:kern w:val="0"/>
                <w:szCs w:val="21"/>
              </w:rPr>
            </w:pPr>
            <w:r>
              <w:rPr>
                <w:color w:val="000000"/>
                <w:kern w:val="0"/>
                <w:szCs w:val="21"/>
              </w:rPr>
              <w:t>申报或集聚区员工获得省级个人荣誉称号</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15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2.5 </w:t>
            </w:r>
          </w:p>
        </w:tc>
        <w:tc>
          <w:tcPr>
            <w:tcW w:w="4451" w:type="dxa"/>
            <w:vAlign w:val="center"/>
          </w:tcPr>
          <w:p>
            <w:pPr>
              <w:rPr>
                <w:color w:val="000000"/>
                <w:kern w:val="0"/>
                <w:szCs w:val="21"/>
              </w:rPr>
            </w:pPr>
            <w:r>
              <w:rPr>
                <w:color w:val="000000"/>
                <w:kern w:val="0"/>
                <w:szCs w:val="21"/>
              </w:rPr>
              <w:t>申报主体或集聚区拥有国家技术发明奖</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25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2.6 </w:t>
            </w:r>
          </w:p>
        </w:tc>
        <w:tc>
          <w:tcPr>
            <w:tcW w:w="4451" w:type="dxa"/>
            <w:vAlign w:val="center"/>
          </w:tcPr>
          <w:p>
            <w:pPr>
              <w:rPr>
                <w:color w:val="000000"/>
                <w:kern w:val="0"/>
                <w:szCs w:val="21"/>
              </w:rPr>
            </w:pPr>
            <w:r>
              <w:rPr>
                <w:color w:val="000000"/>
                <w:kern w:val="0"/>
                <w:szCs w:val="21"/>
              </w:rPr>
              <w:t>申报主体或集聚区拥有国家级非物质文化遗产等独特资源</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25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2.7 </w:t>
            </w:r>
          </w:p>
        </w:tc>
        <w:tc>
          <w:tcPr>
            <w:tcW w:w="4451" w:type="dxa"/>
            <w:vAlign w:val="center"/>
          </w:tcPr>
          <w:p>
            <w:pPr>
              <w:rPr>
                <w:color w:val="000000"/>
                <w:kern w:val="0"/>
                <w:szCs w:val="21"/>
              </w:rPr>
            </w:pPr>
            <w:r>
              <w:rPr>
                <w:color w:val="000000"/>
                <w:kern w:val="0"/>
                <w:szCs w:val="21"/>
              </w:rPr>
              <w:t>申报主体或集聚区拥有省级非物质文化遗产等独特资源</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15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vAlign w:val="center"/>
          </w:tcPr>
          <w:p>
            <w:pPr>
              <w:widowControl/>
              <w:rPr>
                <w:color w:val="000000"/>
                <w:kern w:val="0"/>
                <w:szCs w:val="21"/>
              </w:rPr>
            </w:pPr>
            <w:r>
              <w:rPr>
                <w:color w:val="000000"/>
                <w:kern w:val="0"/>
                <w:szCs w:val="21"/>
              </w:rPr>
              <w:t xml:space="preserve">2.8 </w:t>
            </w:r>
          </w:p>
        </w:tc>
        <w:tc>
          <w:tcPr>
            <w:tcW w:w="4451" w:type="dxa"/>
            <w:vAlign w:val="center"/>
          </w:tcPr>
          <w:p>
            <w:pPr>
              <w:rPr>
                <w:color w:val="000000"/>
                <w:kern w:val="0"/>
                <w:szCs w:val="21"/>
              </w:rPr>
            </w:pPr>
            <w:r>
              <w:rPr>
                <w:color w:val="000000"/>
                <w:kern w:val="0"/>
                <w:szCs w:val="21"/>
              </w:rPr>
              <w:t>申报主体或集聚区获得国家或国际组织颁发的生态环境奖项或荣誉</w:t>
            </w:r>
          </w:p>
        </w:tc>
        <w:tc>
          <w:tcPr>
            <w:tcW w:w="752" w:type="dxa"/>
            <w:vAlign w:val="center"/>
          </w:tcPr>
          <w:p>
            <w:pPr>
              <w:widowControl/>
              <w:rPr>
                <w:color w:val="000000"/>
                <w:kern w:val="0"/>
                <w:szCs w:val="21"/>
              </w:rPr>
            </w:pPr>
          </w:p>
        </w:tc>
        <w:tc>
          <w:tcPr>
            <w:tcW w:w="797" w:type="dxa"/>
            <w:vAlign w:val="center"/>
          </w:tcPr>
          <w:p>
            <w:pPr>
              <w:widowControl/>
              <w:jc w:val="center"/>
              <w:rPr>
                <w:color w:val="000000"/>
                <w:kern w:val="0"/>
                <w:szCs w:val="21"/>
              </w:rPr>
            </w:pPr>
            <w:r>
              <w:rPr>
                <w:color w:val="000000"/>
                <w:kern w:val="0"/>
                <w:szCs w:val="21"/>
              </w:rPr>
              <w:t>25</w:t>
            </w:r>
          </w:p>
        </w:tc>
        <w:tc>
          <w:tcPr>
            <w:tcW w:w="598" w:type="dxa"/>
            <w:vAlign w:val="center"/>
          </w:tcPr>
          <w:p>
            <w:pPr>
              <w:widowControl/>
              <w:jc w:val="center"/>
              <w:rPr>
                <w:color w:val="000000"/>
                <w:kern w:val="0"/>
                <w:szCs w:val="21"/>
              </w:rPr>
            </w:pPr>
          </w:p>
        </w:tc>
        <w:tc>
          <w:tcPr>
            <w:tcW w:w="527" w:type="dxa"/>
            <w:vAlign w:val="center"/>
          </w:tcPr>
          <w:p>
            <w:pPr>
              <w:widowControl/>
              <w:jc w:val="center"/>
              <w:rPr>
                <w:color w:val="000000"/>
                <w:kern w:val="0"/>
                <w:szCs w:val="21"/>
              </w:rPr>
            </w:pPr>
          </w:p>
        </w:tc>
        <w:tc>
          <w:tcPr>
            <w:tcW w:w="507" w:type="dxa"/>
            <w:vAlign w:val="center"/>
          </w:tcPr>
          <w:p>
            <w:pPr>
              <w:widowControl/>
              <w:rPr>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rFonts w:hint="eastAsia" w:eastAsia="宋体"/>
                <w:color w:val="000000"/>
                <w:kern w:val="0"/>
                <w:sz w:val="24"/>
                <w:lang w:eastAsia="zh-CN"/>
              </w:rPr>
            </w:pPr>
            <w:r>
              <w:rPr>
                <w:color w:val="000000"/>
                <w:kern w:val="0"/>
                <w:szCs w:val="21"/>
              </w:rPr>
              <w:t>2.</w:t>
            </w:r>
            <w:r>
              <w:rPr>
                <w:rFonts w:hint="eastAsia"/>
                <w:color w:val="000000"/>
                <w:kern w:val="0"/>
                <w:szCs w:val="21"/>
                <w:lang w:val="en-US" w:eastAsia="zh-CN"/>
              </w:rPr>
              <w:t>9</w:t>
            </w:r>
          </w:p>
        </w:tc>
        <w:tc>
          <w:tcPr>
            <w:tcW w:w="4451" w:type="dxa"/>
          </w:tcPr>
          <w:p>
            <w:pPr>
              <w:widowControl/>
              <w:spacing w:line="360" w:lineRule="auto"/>
              <w:jc w:val="left"/>
              <w:rPr>
                <w:color w:val="000000"/>
                <w:kern w:val="0"/>
                <w:szCs w:val="21"/>
              </w:rPr>
            </w:pPr>
            <w:r>
              <w:rPr>
                <w:color w:val="000000"/>
                <w:kern w:val="0"/>
                <w:szCs w:val="21"/>
              </w:rPr>
              <w:t>申报主体或集聚区获重合同守信用企业</w:t>
            </w:r>
          </w:p>
        </w:tc>
        <w:tc>
          <w:tcPr>
            <w:tcW w:w="752" w:type="dxa"/>
          </w:tcPr>
          <w:p>
            <w:pPr>
              <w:widowControl/>
              <w:spacing w:line="360" w:lineRule="auto"/>
              <w:jc w:val="left"/>
              <w:rPr>
                <w:color w:val="000000"/>
                <w:kern w:val="0"/>
                <w:sz w:val="24"/>
              </w:rPr>
            </w:pPr>
          </w:p>
        </w:tc>
        <w:tc>
          <w:tcPr>
            <w:tcW w:w="797" w:type="dxa"/>
          </w:tcPr>
          <w:p>
            <w:pPr>
              <w:widowControl/>
              <w:spacing w:line="360" w:lineRule="auto"/>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5</w:t>
            </w:r>
          </w:p>
        </w:tc>
        <w:tc>
          <w:tcPr>
            <w:tcW w:w="598" w:type="dxa"/>
          </w:tcPr>
          <w:p>
            <w:pPr>
              <w:widowControl/>
              <w:spacing w:line="360" w:lineRule="auto"/>
              <w:jc w:val="center"/>
              <w:rPr>
                <w:color w:val="000000"/>
                <w:kern w:val="0"/>
                <w:sz w:val="24"/>
              </w:rPr>
            </w:pPr>
          </w:p>
        </w:tc>
        <w:tc>
          <w:tcPr>
            <w:tcW w:w="527" w:type="dxa"/>
          </w:tcPr>
          <w:p>
            <w:pPr>
              <w:widowControl/>
              <w:spacing w:line="360" w:lineRule="auto"/>
              <w:jc w:val="center"/>
              <w:rPr>
                <w:color w:val="000000"/>
                <w:kern w:val="0"/>
                <w:sz w:val="24"/>
              </w:rPr>
            </w:pPr>
          </w:p>
        </w:tc>
        <w:tc>
          <w:tcPr>
            <w:tcW w:w="507" w:type="dxa"/>
          </w:tcPr>
          <w:p>
            <w:pPr>
              <w:widowControl/>
              <w:spacing w:line="360" w:lineRule="auto"/>
              <w:jc w:val="left"/>
              <w:rPr>
                <w:color w:val="000000"/>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47" w:type="dxa"/>
          </w:tcPr>
          <w:p>
            <w:pPr>
              <w:widowControl/>
              <w:spacing w:line="360" w:lineRule="auto"/>
              <w:jc w:val="left"/>
              <w:rPr>
                <w:rFonts w:hint="eastAsia" w:eastAsia="宋体"/>
                <w:color w:val="000000"/>
                <w:kern w:val="0"/>
                <w:sz w:val="24"/>
                <w:lang w:eastAsia="zh-CN"/>
              </w:rPr>
            </w:pPr>
            <w:r>
              <w:rPr>
                <w:color w:val="000000"/>
                <w:kern w:val="0"/>
                <w:szCs w:val="21"/>
              </w:rPr>
              <w:t>2.1</w:t>
            </w:r>
            <w:r>
              <w:rPr>
                <w:rFonts w:hint="eastAsia"/>
                <w:color w:val="000000"/>
                <w:kern w:val="0"/>
                <w:szCs w:val="21"/>
                <w:lang w:val="en-US" w:eastAsia="zh-CN"/>
              </w:rPr>
              <w:t>0</w:t>
            </w:r>
          </w:p>
        </w:tc>
        <w:tc>
          <w:tcPr>
            <w:tcW w:w="4451" w:type="dxa"/>
          </w:tcPr>
          <w:p>
            <w:pPr>
              <w:widowControl/>
              <w:spacing w:line="360" w:lineRule="auto"/>
              <w:jc w:val="left"/>
              <w:rPr>
                <w:color w:val="000000"/>
                <w:kern w:val="0"/>
                <w:szCs w:val="21"/>
              </w:rPr>
            </w:pPr>
            <w:r>
              <w:rPr>
                <w:color w:val="000000"/>
                <w:kern w:val="0"/>
                <w:szCs w:val="21"/>
              </w:rPr>
              <w:t>申报主体或集聚区获认定高新技术企业</w:t>
            </w:r>
          </w:p>
        </w:tc>
        <w:tc>
          <w:tcPr>
            <w:tcW w:w="752" w:type="dxa"/>
          </w:tcPr>
          <w:p>
            <w:pPr>
              <w:widowControl/>
              <w:spacing w:line="360" w:lineRule="auto"/>
              <w:jc w:val="left"/>
              <w:rPr>
                <w:color w:val="000000"/>
                <w:kern w:val="0"/>
                <w:sz w:val="24"/>
              </w:rPr>
            </w:pPr>
          </w:p>
        </w:tc>
        <w:tc>
          <w:tcPr>
            <w:tcW w:w="797" w:type="dxa"/>
          </w:tcPr>
          <w:p>
            <w:pPr>
              <w:widowControl/>
              <w:spacing w:line="360" w:lineRule="auto"/>
              <w:jc w:val="center"/>
              <w:rPr>
                <w:rFonts w:hint="eastAsia" w:eastAsia="宋体"/>
                <w:color w:val="000000"/>
                <w:kern w:val="0"/>
                <w:sz w:val="24"/>
                <w:lang w:eastAsia="zh-CN"/>
              </w:rPr>
            </w:pPr>
            <w:r>
              <w:rPr>
                <w:color w:val="000000"/>
                <w:kern w:val="0"/>
                <w:sz w:val="24"/>
              </w:rPr>
              <w:t>1</w:t>
            </w:r>
            <w:r>
              <w:rPr>
                <w:rFonts w:hint="eastAsia"/>
                <w:color w:val="000000"/>
                <w:kern w:val="0"/>
                <w:sz w:val="24"/>
                <w:lang w:val="en-US" w:eastAsia="zh-CN"/>
              </w:rPr>
              <w:t>5</w:t>
            </w:r>
          </w:p>
        </w:tc>
        <w:tc>
          <w:tcPr>
            <w:tcW w:w="598" w:type="dxa"/>
          </w:tcPr>
          <w:p>
            <w:pPr>
              <w:widowControl/>
              <w:spacing w:line="360" w:lineRule="auto"/>
              <w:jc w:val="center"/>
              <w:rPr>
                <w:color w:val="000000"/>
                <w:kern w:val="0"/>
                <w:sz w:val="24"/>
              </w:rPr>
            </w:pPr>
          </w:p>
        </w:tc>
        <w:tc>
          <w:tcPr>
            <w:tcW w:w="527" w:type="dxa"/>
          </w:tcPr>
          <w:p>
            <w:pPr>
              <w:widowControl/>
              <w:spacing w:line="360" w:lineRule="auto"/>
              <w:jc w:val="center"/>
              <w:rPr>
                <w:color w:val="000000"/>
                <w:kern w:val="0"/>
                <w:sz w:val="24"/>
              </w:rPr>
            </w:pPr>
          </w:p>
        </w:tc>
        <w:tc>
          <w:tcPr>
            <w:tcW w:w="507" w:type="dxa"/>
          </w:tcPr>
          <w:p>
            <w:pPr>
              <w:widowControl/>
              <w:spacing w:line="360" w:lineRule="auto"/>
              <w:jc w:val="left"/>
              <w:rPr>
                <w:color w:val="000000"/>
                <w:kern w:val="0"/>
                <w:sz w:val="24"/>
              </w:rPr>
            </w:pPr>
          </w:p>
        </w:tc>
      </w:tr>
    </w:tbl>
    <w:p/>
    <w:p>
      <w:pPr>
        <w:rPr>
          <w:rFonts w:eastAsia="黑体"/>
          <w:b/>
          <w:sz w:val="32"/>
          <w:szCs w:val="32"/>
        </w:rPr>
      </w:pPr>
      <w:bookmarkStart w:id="0" w:name="_GoBack"/>
      <w:bookmarkEnd w:id="0"/>
    </w:p>
    <w:sectPr>
      <w:footerReference r:id="rId3" w:type="default"/>
      <w:footerReference r:id="rId4" w:type="even"/>
      <w:pgSz w:w="11906" w:h="16838"/>
      <w:pgMar w:top="2041" w:right="1531" w:bottom="2041" w:left="1531" w:header="851" w:footer="1531"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firstLine="36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5"/>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outside" w:y="1"/>
      <w:rPr>
        <w:rStyle w:val="10"/>
      </w:rPr>
    </w:pPr>
    <w:r>
      <w:fldChar w:fldCharType="begin"/>
    </w:r>
    <w:r>
      <w:rPr>
        <w:rStyle w:val="10"/>
      </w:rPr>
      <w:instrText xml:space="preserve">PAGE  </w:instrText>
    </w:r>
    <w:r>
      <w:fldChar w:fldCharType="end"/>
    </w:r>
  </w:p>
  <w:p>
    <w:pPr>
      <w:pStyle w:val="5"/>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C91163"/>
    <w:multiLevelType w:val="multilevel"/>
    <w:tmpl w:val="1FC91163"/>
    <w:lvl w:ilvl="0" w:tentative="0">
      <w:start w:val="1"/>
      <w:numFmt w:val="decimal"/>
      <w:pStyle w:val="22"/>
      <w:suff w:val="nothing"/>
      <w:lvlText w:val="%1　"/>
      <w:lvlJc w:val="left"/>
      <w:pPr>
        <w:ind w:left="2552" w:firstLine="0"/>
      </w:pPr>
      <w:rPr>
        <w:rFonts w:hint="eastAsia" w:ascii="黑体" w:hAnsi="Times New Roman" w:eastAsia="黑体"/>
        <w:b w:val="0"/>
        <w:i w:val="0"/>
        <w:color w:val="000000"/>
        <w:sz w:val="21"/>
        <w:szCs w:val="21"/>
      </w:rPr>
    </w:lvl>
    <w:lvl w:ilvl="1" w:tentative="0">
      <w:start w:val="1"/>
      <w:numFmt w:val="decimal"/>
      <w:suff w:val="nothing"/>
      <w:lvlText w:val="%1.%2　"/>
      <w:lvlJc w:val="left"/>
      <w:pPr>
        <w:ind w:left="142"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419E78EA"/>
    <w:multiLevelType w:val="multilevel"/>
    <w:tmpl w:val="419E78EA"/>
    <w:lvl w:ilvl="0" w:tentative="0">
      <w:start w:val="1"/>
      <w:numFmt w:val="lowerLetter"/>
      <w:pStyle w:val="24"/>
      <w:lvlText w:val="%1)"/>
      <w:lvlJc w:val="left"/>
      <w:pPr>
        <w:tabs>
          <w:tab w:val="left" w:pos="840"/>
        </w:tabs>
        <w:ind w:left="839" w:hanging="419"/>
      </w:pPr>
      <w:rPr>
        <w:rFonts w:hint="eastAsia" w:ascii="宋体" w:eastAsia="宋体"/>
        <w:b w:val="0"/>
        <w:i w:val="0"/>
        <w:sz w:val="21"/>
        <w:szCs w:val="21"/>
      </w:rPr>
    </w:lvl>
    <w:lvl w:ilvl="1" w:tentative="0">
      <w:start w:val="1"/>
      <w:numFmt w:val="decimal"/>
      <w:lvlText w:val="%2)"/>
      <w:lvlJc w:val="left"/>
      <w:pPr>
        <w:tabs>
          <w:tab w:val="left" w:pos="1260"/>
        </w:tabs>
        <w:ind w:left="125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attachedTemplate r:id="rId1"/>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OGU4Y2U1MDFlMGU2MDJjZmQ0YjZmMWJmZTBiOTEifQ=="/>
  </w:docVars>
  <w:rsids>
    <w:rsidRoot w:val="0001434C"/>
    <w:rsid w:val="00011A2C"/>
    <w:rsid w:val="0001434C"/>
    <w:rsid w:val="00033C71"/>
    <w:rsid w:val="00036987"/>
    <w:rsid w:val="00042D6B"/>
    <w:rsid w:val="000472DE"/>
    <w:rsid w:val="000559A7"/>
    <w:rsid w:val="000563D9"/>
    <w:rsid w:val="0006380D"/>
    <w:rsid w:val="00064960"/>
    <w:rsid w:val="0007248C"/>
    <w:rsid w:val="00073667"/>
    <w:rsid w:val="00082EE5"/>
    <w:rsid w:val="000A34AD"/>
    <w:rsid w:val="000B599E"/>
    <w:rsid w:val="000D1D5A"/>
    <w:rsid w:val="000D4002"/>
    <w:rsid w:val="000E0C24"/>
    <w:rsid w:val="000F2FCB"/>
    <w:rsid w:val="000F7318"/>
    <w:rsid w:val="00100079"/>
    <w:rsid w:val="001059BD"/>
    <w:rsid w:val="001059F9"/>
    <w:rsid w:val="00106553"/>
    <w:rsid w:val="001220B9"/>
    <w:rsid w:val="00157F5A"/>
    <w:rsid w:val="00167ECC"/>
    <w:rsid w:val="00172557"/>
    <w:rsid w:val="001868A3"/>
    <w:rsid w:val="00197DC5"/>
    <w:rsid w:val="001A079B"/>
    <w:rsid w:val="001A1EF5"/>
    <w:rsid w:val="001A23AF"/>
    <w:rsid w:val="001C2782"/>
    <w:rsid w:val="001D7A69"/>
    <w:rsid w:val="001E1464"/>
    <w:rsid w:val="001E6A06"/>
    <w:rsid w:val="001F02A7"/>
    <w:rsid w:val="00216DBE"/>
    <w:rsid w:val="0022172D"/>
    <w:rsid w:val="0022204D"/>
    <w:rsid w:val="00222EB4"/>
    <w:rsid w:val="00234202"/>
    <w:rsid w:val="00235E2B"/>
    <w:rsid w:val="002825F0"/>
    <w:rsid w:val="002924E6"/>
    <w:rsid w:val="00297429"/>
    <w:rsid w:val="002B0B29"/>
    <w:rsid w:val="002B4DF6"/>
    <w:rsid w:val="002C095F"/>
    <w:rsid w:val="002C0F4A"/>
    <w:rsid w:val="002C77FC"/>
    <w:rsid w:val="002D03A7"/>
    <w:rsid w:val="002D50F8"/>
    <w:rsid w:val="002E2CD9"/>
    <w:rsid w:val="00312CE3"/>
    <w:rsid w:val="0032430A"/>
    <w:rsid w:val="00344056"/>
    <w:rsid w:val="00364113"/>
    <w:rsid w:val="00380836"/>
    <w:rsid w:val="003A3625"/>
    <w:rsid w:val="003A712D"/>
    <w:rsid w:val="003C20DE"/>
    <w:rsid w:val="003E5F2F"/>
    <w:rsid w:val="003F278C"/>
    <w:rsid w:val="003F712D"/>
    <w:rsid w:val="004162D0"/>
    <w:rsid w:val="0042749F"/>
    <w:rsid w:val="00443B41"/>
    <w:rsid w:val="00475F00"/>
    <w:rsid w:val="00480948"/>
    <w:rsid w:val="00491B48"/>
    <w:rsid w:val="004A38E0"/>
    <w:rsid w:val="004A3A74"/>
    <w:rsid w:val="004B16A2"/>
    <w:rsid w:val="004F3DB6"/>
    <w:rsid w:val="00503273"/>
    <w:rsid w:val="005042F2"/>
    <w:rsid w:val="00504562"/>
    <w:rsid w:val="00514D8C"/>
    <w:rsid w:val="0051568D"/>
    <w:rsid w:val="005162DE"/>
    <w:rsid w:val="00577586"/>
    <w:rsid w:val="005979D4"/>
    <w:rsid w:val="005B172F"/>
    <w:rsid w:val="005B3C92"/>
    <w:rsid w:val="005C1B6B"/>
    <w:rsid w:val="005D7F24"/>
    <w:rsid w:val="006007F6"/>
    <w:rsid w:val="00600D66"/>
    <w:rsid w:val="0060525C"/>
    <w:rsid w:val="00625CCF"/>
    <w:rsid w:val="006428F6"/>
    <w:rsid w:val="00693BD7"/>
    <w:rsid w:val="006A4A43"/>
    <w:rsid w:val="006B221E"/>
    <w:rsid w:val="006C5018"/>
    <w:rsid w:val="006D2F95"/>
    <w:rsid w:val="006D3971"/>
    <w:rsid w:val="0070191F"/>
    <w:rsid w:val="00712469"/>
    <w:rsid w:val="00713347"/>
    <w:rsid w:val="00720164"/>
    <w:rsid w:val="007327AD"/>
    <w:rsid w:val="007448C1"/>
    <w:rsid w:val="0074617C"/>
    <w:rsid w:val="007931CD"/>
    <w:rsid w:val="00797CF7"/>
    <w:rsid w:val="007A0383"/>
    <w:rsid w:val="007C1E75"/>
    <w:rsid w:val="007C6E31"/>
    <w:rsid w:val="007E5324"/>
    <w:rsid w:val="007F276A"/>
    <w:rsid w:val="008042FA"/>
    <w:rsid w:val="00827BF2"/>
    <w:rsid w:val="00827D75"/>
    <w:rsid w:val="00831F64"/>
    <w:rsid w:val="00842698"/>
    <w:rsid w:val="0084314D"/>
    <w:rsid w:val="00845819"/>
    <w:rsid w:val="00845DAD"/>
    <w:rsid w:val="00857C72"/>
    <w:rsid w:val="008624B2"/>
    <w:rsid w:val="0086319B"/>
    <w:rsid w:val="00867111"/>
    <w:rsid w:val="008830AE"/>
    <w:rsid w:val="00884912"/>
    <w:rsid w:val="00896F26"/>
    <w:rsid w:val="008A0030"/>
    <w:rsid w:val="008B5918"/>
    <w:rsid w:val="008C2E3C"/>
    <w:rsid w:val="008C6167"/>
    <w:rsid w:val="008D2DAE"/>
    <w:rsid w:val="008E303A"/>
    <w:rsid w:val="008E3CAA"/>
    <w:rsid w:val="008E6707"/>
    <w:rsid w:val="00912480"/>
    <w:rsid w:val="00934DC0"/>
    <w:rsid w:val="009369F0"/>
    <w:rsid w:val="00943EF6"/>
    <w:rsid w:val="00963A05"/>
    <w:rsid w:val="009C2335"/>
    <w:rsid w:val="009C7429"/>
    <w:rsid w:val="009D6147"/>
    <w:rsid w:val="009E2205"/>
    <w:rsid w:val="009E3D54"/>
    <w:rsid w:val="00A0123F"/>
    <w:rsid w:val="00A04E7A"/>
    <w:rsid w:val="00A0597D"/>
    <w:rsid w:val="00A22ACB"/>
    <w:rsid w:val="00A23CF3"/>
    <w:rsid w:val="00A2473A"/>
    <w:rsid w:val="00A43031"/>
    <w:rsid w:val="00A44B4F"/>
    <w:rsid w:val="00A46972"/>
    <w:rsid w:val="00A54CF0"/>
    <w:rsid w:val="00A65CA9"/>
    <w:rsid w:val="00A7384A"/>
    <w:rsid w:val="00A84C3A"/>
    <w:rsid w:val="00A9014D"/>
    <w:rsid w:val="00A90A76"/>
    <w:rsid w:val="00AA2BB4"/>
    <w:rsid w:val="00AB7E61"/>
    <w:rsid w:val="00AD0B1E"/>
    <w:rsid w:val="00AF201C"/>
    <w:rsid w:val="00B05683"/>
    <w:rsid w:val="00B145D1"/>
    <w:rsid w:val="00B30423"/>
    <w:rsid w:val="00B349F9"/>
    <w:rsid w:val="00B54297"/>
    <w:rsid w:val="00B61141"/>
    <w:rsid w:val="00B6583E"/>
    <w:rsid w:val="00B76EAA"/>
    <w:rsid w:val="00B80A92"/>
    <w:rsid w:val="00B91D4B"/>
    <w:rsid w:val="00B93897"/>
    <w:rsid w:val="00BC0B1E"/>
    <w:rsid w:val="00BC4464"/>
    <w:rsid w:val="00BF34FA"/>
    <w:rsid w:val="00BF5EAC"/>
    <w:rsid w:val="00C0036E"/>
    <w:rsid w:val="00C0059F"/>
    <w:rsid w:val="00C2468D"/>
    <w:rsid w:val="00C56089"/>
    <w:rsid w:val="00C56D99"/>
    <w:rsid w:val="00C825FE"/>
    <w:rsid w:val="00C82D4D"/>
    <w:rsid w:val="00C9100E"/>
    <w:rsid w:val="00CA421F"/>
    <w:rsid w:val="00CC4F39"/>
    <w:rsid w:val="00CE24BA"/>
    <w:rsid w:val="00CE3F53"/>
    <w:rsid w:val="00CE5324"/>
    <w:rsid w:val="00CF129D"/>
    <w:rsid w:val="00CF2724"/>
    <w:rsid w:val="00D03474"/>
    <w:rsid w:val="00D15550"/>
    <w:rsid w:val="00D22E7A"/>
    <w:rsid w:val="00D35E10"/>
    <w:rsid w:val="00D43E34"/>
    <w:rsid w:val="00D650E2"/>
    <w:rsid w:val="00DB3CD6"/>
    <w:rsid w:val="00DC0800"/>
    <w:rsid w:val="00DE18F7"/>
    <w:rsid w:val="00DE2DFC"/>
    <w:rsid w:val="00DF3671"/>
    <w:rsid w:val="00DF44AF"/>
    <w:rsid w:val="00E01481"/>
    <w:rsid w:val="00E17A11"/>
    <w:rsid w:val="00E60D9E"/>
    <w:rsid w:val="00E636D9"/>
    <w:rsid w:val="00E664E3"/>
    <w:rsid w:val="00E67C63"/>
    <w:rsid w:val="00E81C5C"/>
    <w:rsid w:val="00E94534"/>
    <w:rsid w:val="00EA521C"/>
    <w:rsid w:val="00EA5942"/>
    <w:rsid w:val="00EB0BC7"/>
    <w:rsid w:val="00EC0540"/>
    <w:rsid w:val="00ED2E3D"/>
    <w:rsid w:val="00ED4857"/>
    <w:rsid w:val="00EE3C08"/>
    <w:rsid w:val="00EF5C69"/>
    <w:rsid w:val="00F07008"/>
    <w:rsid w:val="00F163C5"/>
    <w:rsid w:val="00F17E72"/>
    <w:rsid w:val="00F217E9"/>
    <w:rsid w:val="00F22332"/>
    <w:rsid w:val="00F35480"/>
    <w:rsid w:val="00F37F4C"/>
    <w:rsid w:val="00F62E68"/>
    <w:rsid w:val="00F63562"/>
    <w:rsid w:val="00F65A9F"/>
    <w:rsid w:val="00FA05DA"/>
    <w:rsid w:val="00FB31C4"/>
    <w:rsid w:val="00FD4164"/>
    <w:rsid w:val="00FE11EF"/>
    <w:rsid w:val="01B72C60"/>
    <w:rsid w:val="0C0D36C6"/>
    <w:rsid w:val="141045F9"/>
    <w:rsid w:val="1AD93C7F"/>
    <w:rsid w:val="1BD7F2EB"/>
    <w:rsid w:val="1F8828E2"/>
    <w:rsid w:val="2C82289C"/>
    <w:rsid w:val="30371A0F"/>
    <w:rsid w:val="3A37BECC"/>
    <w:rsid w:val="3C071F27"/>
    <w:rsid w:val="57DF3BE4"/>
    <w:rsid w:val="5A047CBF"/>
    <w:rsid w:val="5F3CEEAE"/>
    <w:rsid w:val="5F9F6500"/>
    <w:rsid w:val="60530E6E"/>
    <w:rsid w:val="61F74805"/>
    <w:rsid w:val="6E9FBDA4"/>
    <w:rsid w:val="6F9D4579"/>
    <w:rsid w:val="6FD7CC57"/>
    <w:rsid w:val="6FFE647B"/>
    <w:rsid w:val="7AEF038E"/>
    <w:rsid w:val="7D864334"/>
    <w:rsid w:val="7DD7A3AA"/>
    <w:rsid w:val="7DFF9A75"/>
    <w:rsid w:val="7EC37EBF"/>
    <w:rsid w:val="7EC9A962"/>
    <w:rsid w:val="B9FEC630"/>
    <w:rsid w:val="BC748588"/>
    <w:rsid w:val="BD670DCB"/>
    <w:rsid w:val="DDE61E6E"/>
    <w:rsid w:val="E46B1525"/>
    <w:rsid w:val="F71D4F42"/>
    <w:rsid w:val="F8EA874E"/>
    <w:rsid w:val="F9FFDC56"/>
    <w:rsid w:val="FF7FD5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3"/>
    <w:qFormat/>
    <w:uiPriority w:val="0"/>
    <w:pPr>
      <w:ind w:right="-35" w:rightChars="-12"/>
    </w:pPr>
    <w:rPr>
      <w:rFonts w:eastAsia="仿宋_GB2312"/>
      <w:sz w:val="31"/>
    </w:rPr>
  </w:style>
  <w:style w:type="paragraph" w:styleId="3">
    <w:name w:val="Date"/>
    <w:basedOn w:val="1"/>
    <w:next w:val="1"/>
    <w:link w:val="12"/>
    <w:qFormat/>
    <w:uiPriority w:val="0"/>
    <w:pPr>
      <w:ind w:left="100" w:leftChars="2500"/>
    </w:pPr>
  </w:style>
  <w:style w:type="paragraph" w:styleId="4">
    <w:name w:val="Balloon Text"/>
    <w:basedOn w:val="1"/>
    <w:link w:val="26"/>
    <w:qFormat/>
    <w:uiPriority w:val="0"/>
    <w:rPr>
      <w:sz w:val="18"/>
      <w:szCs w:val="18"/>
    </w:r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page number"/>
    <w:basedOn w:val="9"/>
    <w:qFormat/>
    <w:uiPriority w:val="0"/>
  </w:style>
  <w:style w:type="character" w:customStyle="1" w:styleId="11">
    <w:name w:val="页眉 Char"/>
    <w:basedOn w:val="9"/>
    <w:link w:val="6"/>
    <w:qFormat/>
    <w:uiPriority w:val="0"/>
    <w:rPr>
      <w:kern w:val="2"/>
      <w:sz w:val="18"/>
      <w:szCs w:val="18"/>
    </w:rPr>
  </w:style>
  <w:style w:type="character" w:customStyle="1" w:styleId="12">
    <w:name w:val="日期 Char"/>
    <w:basedOn w:val="9"/>
    <w:link w:val="3"/>
    <w:qFormat/>
    <w:uiPriority w:val="0"/>
    <w:rPr>
      <w:kern w:val="2"/>
      <w:sz w:val="21"/>
      <w:szCs w:val="24"/>
    </w:rPr>
  </w:style>
  <w:style w:type="character" w:customStyle="1" w:styleId="13">
    <w:name w:val="正文文本 Char"/>
    <w:basedOn w:val="9"/>
    <w:link w:val="2"/>
    <w:qFormat/>
    <w:uiPriority w:val="0"/>
    <w:rPr>
      <w:rFonts w:eastAsia="仿宋_GB2312"/>
      <w:kern w:val="2"/>
      <w:sz w:val="31"/>
      <w:szCs w:val="24"/>
    </w:rPr>
  </w:style>
  <w:style w:type="character" w:customStyle="1" w:styleId="14">
    <w:name w:val="页脚 Char"/>
    <w:basedOn w:val="9"/>
    <w:link w:val="5"/>
    <w:qFormat/>
    <w:locked/>
    <w:uiPriority w:val="0"/>
    <w:rPr>
      <w:rFonts w:eastAsia="宋体"/>
      <w:kern w:val="2"/>
      <w:sz w:val="18"/>
      <w:szCs w:val="18"/>
      <w:lang w:val="en-US" w:eastAsia="zh-CN" w:bidi="ar-SA"/>
    </w:rPr>
  </w:style>
  <w:style w:type="paragraph" w:customStyle="1" w:styleId="15">
    <w:name w:val="二级无"/>
    <w:basedOn w:val="16"/>
    <w:qFormat/>
    <w:uiPriority w:val="0"/>
    <w:pPr>
      <w:spacing w:beforeLines="0" w:afterLines="0"/>
    </w:pPr>
    <w:rPr>
      <w:rFonts w:ascii="宋体" w:eastAsia="宋体"/>
    </w:rPr>
  </w:style>
  <w:style w:type="paragraph" w:customStyle="1" w:styleId="16">
    <w:name w:val="二级条标题"/>
    <w:basedOn w:val="17"/>
    <w:next w:val="18"/>
    <w:qFormat/>
    <w:uiPriority w:val="0"/>
    <w:pPr>
      <w:spacing w:before="50" w:after="50"/>
      <w:ind w:left="0"/>
      <w:outlineLvl w:val="3"/>
    </w:pPr>
  </w:style>
  <w:style w:type="paragraph" w:customStyle="1" w:styleId="17">
    <w:name w:val="一级条标题"/>
    <w:next w:val="18"/>
    <w:qFormat/>
    <w:uiPriority w:val="0"/>
    <w:pPr>
      <w:spacing w:beforeLines="50" w:afterLines="50"/>
      <w:ind w:left="142"/>
      <w:outlineLvl w:val="2"/>
    </w:pPr>
    <w:rPr>
      <w:rFonts w:ascii="黑体" w:hAnsi="Times New Roman" w:eastAsia="黑体" w:cs="Times New Roman"/>
      <w:sz w:val="21"/>
      <w:szCs w:val="21"/>
      <w:lang w:val="en-US" w:eastAsia="zh-CN" w:bidi="ar-SA"/>
    </w:rPr>
  </w:style>
  <w:style w:type="paragraph" w:customStyle="1" w:styleId="18">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19">
    <w:name w:val="三级无"/>
    <w:basedOn w:val="20"/>
    <w:qFormat/>
    <w:uiPriority w:val="0"/>
    <w:pPr>
      <w:spacing w:beforeLines="0" w:afterLines="0"/>
    </w:pPr>
    <w:rPr>
      <w:rFonts w:ascii="宋体" w:eastAsia="宋体"/>
    </w:rPr>
  </w:style>
  <w:style w:type="paragraph" w:customStyle="1" w:styleId="20">
    <w:name w:val="三级条标题"/>
    <w:basedOn w:val="16"/>
    <w:next w:val="18"/>
    <w:qFormat/>
    <w:uiPriority w:val="0"/>
    <w:pPr>
      <w:outlineLvl w:val="4"/>
    </w:pPr>
  </w:style>
  <w:style w:type="paragraph" w:customStyle="1" w:styleId="21">
    <w:name w:val="一级无"/>
    <w:basedOn w:val="17"/>
    <w:qFormat/>
    <w:uiPriority w:val="0"/>
    <w:pPr>
      <w:spacing w:beforeLines="0" w:afterLines="0"/>
    </w:pPr>
    <w:rPr>
      <w:rFonts w:ascii="宋体" w:eastAsia="宋体"/>
    </w:rPr>
  </w:style>
  <w:style w:type="paragraph" w:customStyle="1" w:styleId="22">
    <w:name w:val="章标题"/>
    <w:next w:val="18"/>
    <w:qFormat/>
    <w:uiPriority w:val="0"/>
    <w:pPr>
      <w:numPr>
        <w:ilvl w:val="0"/>
        <w:numId w:val="1"/>
      </w:numPr>
      <w:spacing w:beforeLines="100" w:afterLines="100"/>
      <w:ind w:left="0"/>
      <w:jc w:val="both"/>
      <w:outlineLvl w:val="1"/>
    </w:pPr>
    <w:rPr>
      <w:rFonts w:ascii="黑体" w:hAnsi="Times New Roman" w:eastAsia="黑体" w:cs="Times New Roman"/>
      <w:sz w:val="21"/>
      <w:lang w:val="en-US" w:eastAsia="zh-CN" w:bidi="ar-SA"/>
    </w:rPr>
  </w:style>
  <w:style w:type="paragraph" w:customStyle="1" w:styleId="23">
    <w:name w:val="Char Char Char1 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4">
    <w:name w:val="字母编号列项（一级）"/>
    <w:qFormat/>
    <w:uiPriority w:val="0"/>
    <w:pPr>
      <w:numPr>
        <w:ilvl w:val="0"/>
        <w:numId w:val="2"/>
      </w:numPr>
      <w:jc w:val="both"/>
    </w:pPr>
    <w:rPr>
      <w:rFonts w:ascii="宋体" w:hAnsi="Times New Roman" w:eastAsia="宋体" w:cs="Times New Roman"/>
      <w:sz w:val="21"/>
      <w:lang w:val="en-US" w:eastAsia="zh-CN" w:bidi="ar-SA"/>
    </w:rPr>
  </w:style>
  <w:style w:type="paragraph" w:customStyle="1" w:styleId="25">
    <w:name w:val="Char Char1"/>
    <w:basedOn w:val="1"/>
    <w:qFormat/>
    <w:uiPriority w:val="0"/>
    <w:rPr>
      <w:rFonts w:ascii="Tahoma" w:hAnsi="Tahoma"/>
      <w:sz w:val="24"/>
      <w:szCs w:val="20"/>
    </w:rPr>
  </w:style>
  <w:style w:type="character" w:customStyle="1" w:styleId="26">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Company>lyg</Company>
  <Pages>20</Pages>
  <Words>8901</Words>
  <Characters>10396</Characters>
  <Lines>83</Lines>
  <Paragraphs>23</Paragraphs>
  <TotalTime>3</TotalTime>
  <ScaleCrop>false</ScaleCrop>
  <LinksUpToDate>false</LinksUpToDate>
  <CharactersWithSpaces>10873</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2021-04-23T15:27:00Z</dcterms:created>
  <dc:creator>Administrator</dc:creator>
  <cp:lastModifiedBy>发文人:公文套红</cp:lastModifiedBy>
  <cp:lastPrinted>2021-10-26T10:21:00Z</cp:lastPrinted>
  <dcterms:modified xsi:type="dcterms:W3CDTF">2024-11-20T09:15:50Z</dcterms:modified>
  <dc:title>东旅函〔2015〕 号</dc:title>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5DE7A41E2D6B60873EF8B1662FF1E4E6_43</vt:lpwstr>
  </property>
</Properties>
</file>